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30" w:rsidRPr="00EB6A7F" w:rsidRDefault="002B67DF" w:rsidP="001B1034">
      <w:pPr>
        <w:spacing w:before="120"/>
        <w:ind w:right="11" w:firstLine="0"/>
        <w:jc w:val="right"/>
      </w:pPr>
      <w:r w:rsidRPr="002B67DF">
        <w:rPr>
          <w:sz w:val="28"/>
        </w:rPr>
        <w:pict>
          <v:line id="_x0000_s1028" style="position:absolute;left:0;text-align:left;z-index:251657216;mso-position-horizontal-relative:margin" from="146.8pt,-44.65pt" to="146.8pt,147.35pt" o:allowincell="f" strokeweight=".7pt">
            <w10:wrap anchorx="margin"/>
          </v:line>
        </w:pict>
      </w:r>
      <w:r w:rsidR="00DE4336">
        <w:rPr>
          <w:sz w:val="28"/>
        </w:rPr>
        <w:t>P</w:t>
      </w:r>
      <w:r w:rsidR="00105130" w:rsidRPr="00EB6A7F">
        <w:rPr>
          <w:sz w:val="28"/>
        </w:rPr>
        <w:t xml:space="preserve">eriodica </w:t>
      </w:r>
      <w:r w:rsidR="00DE4336">
        <w:rPr>
          <w:sz w:val="28"/>
        </w:rPr>
        <w:t>P</w:t>
      </w:r>
      <w:r w:rsidR="00105130" w:rsidRPr="00EB6A7F">
        <w:rPr>
          <w:sz w:val="28"/>
        </w:rPr>
        <w:t>olytechnica</w:t>
      </w:r>
    </w:p>
    <w:p w:rsidR="00105130" w:rsidRPr="00EB6A7F" w:rsidRDefault="00105130" w:rsidP="00EB6A7F">
      <w:pPr>
        <w:spacing w:before="240"/>
        <w:ind w:right="11"/>
        <w:jc w:val="right"/>
        <w:rPr>
          <w:i/>
        </w:rPr>
      </w:pPr>
      <w:r w:rsidRPr="00EB6A7F">
        <w:rPr>
          <w:i/>
        </w:rPr>
        <w:t>Transportation Engineering</w:t>
      </w:r>
    </w:p>
    <w:p w:rsidR="00105130" w:rsidRPr="00EB6A7F" w:rsidRDefault="00FA40A0" w:rsidP="00EB6A7F">
      <w:pPr>
        <w:jc w:val="right"/>
        <w:rPr>
          <w:i/>
        </w:rPr>
      </w:pPr>
      <w:r>
        <w:rPr>
          <w:i/>
        </w:rPr>
        <w:t>x(y)</w:t>
      </w:r>
      <w:r w:rsidR="00105130" w:rsidRPr="00EB6A7F">
        <w:rPr>
          <w:i/>
        </w:rPr>
        <w:t xml:space="preserve"> </w:t>
      </w:r>
      <w:r>
        <w:rPr>
          <w:i/>
        </w:rPr>
        <w:t>pp.</w:t>
      </w:r>
      <w:r w:rsidRPr="00EB6A7F">
        <w:rPr>
          <w:i/>
        </w:rPr>
        <w:t xml:space="preserve"> x-x</w:t>
      </w:r>
      <w:r>
        <w:rPr>
          <w:i/>
        </w:rPr>
        <w:t xml:space="preserve">, </w:t>
      </w:r>
      <w:r w:rsidR="00105130" w:rsidRPr="00EB6A7F">
        <w:rPr>
          <w:i/>
        </w:rPr>
        <w:t>(</w:t>
      </w:r>
      <w:r>
        <w:rPr>
          <w:i/>
        </w:rPr>
        <w:t>year</w:t>
      </w:r>
      <w:r w:rsidR="00105130" w:rsidRPr="00EB6A7F">
        <w:rPr>
          <w:i/>
        </w:rPr>
        <w:t>)</w:t>
      </w:r>
    </w:p>
    <w:p w:rsidR="00105130" w:rsidRPr="00952C69" w:rsidRDefault="00105130" w:rsidP="00EB6A7F">
      <w:pPr>
        <w:jc w:val="right"/>
        <w:rPr>
          <w:i/>
          <w:lang w:val="fr-CH"/>
        </w:rPr>
      </w:pPr>
      <w:r w:rsidRPr="00952C69">
        <w:rPr>
          <w:i/>
          <w:spacing w:val="-5"/>
          <w:lang w:val="fr-CH"/>
        </w:rPr>
        <w:t>doi: 10.3311/pp.tr.201</w:t>
      </w:r>
      <w:r w:rsidR="00B66982" w:rsidRPr="00952C69">
        <w:rPr>
          <w:i/>
          <w:spacing w:val="-5"/>
          <w:lang w:val="fr-CH"/>
        </w:rPr>
        <w:t>x</w:t>
      </w:r>
      <w:r w:rsidRPr="00952C69">
        <w:rPr>
          <w:i/>
          <w:spacing w:val="-5"/>
          <w:lang w:val="fr-CH"/>
        </w:rPr>
        <w:t>­</w:t>
      </w:r>
      <w:r w:rsidR="00B66982" w:rsidRPr="00952C69">
        <w:rPr>
          <w:i/>
          <w:spacing w:val="-5"/>
          <w:lang w:val="fr-CH"/>
        </w:rPr>
        <w:t>x</w:t>
      </w:r>
      <w:r w:rsidRPr="00952C69">
        <w:rPr>
          <w:i/>
          <w:spacing w:val="-5"/>
          <w:lang w:val="fr-CH"/>
        </w:rPr>
        <w:t>.</w:t>
      </w:r>
      <w:r w:rsidR="00B66982" w:rsidRPr="00952C69">
        <w:rPr>
          <w:i/>
          <w:spacing w:val="-5"/>
          <w:lang w:val="fr-CH"/>
        </w:rPr>
        <w:t>xx</w:t>
      </w:r>
    </w:p>
    <w:p w:rsidR="00105130" w:rsidRPr="00EB6A7F" w:rsidRDefault="00105130" w:rsidP="00EB6A7F">
      <w:pPr>
        <w:jc w:val="right"/>
        <w:rPr>
          <w:i/>
        </w:rPr>
      </w:pPr>
      <w:r w:rsidRPr="00EB6A7F">
        <w:rPr>
          <w:i/>
          <w:spacing w:val="-1"/>
        </w:rPr>
        <w:t>web: http://www.pp.bme.hu/tr</w:t>
      </w:r>
    </w:p>
    <w:p w:rsidR="00105130" w:rsidRPr="00EB6A7F" w:rsidRDefault="00222E6C" w:rsidP="00222E6C">
      <w:pPr>
        <w:tabs>
          <w:tab w:val="right" w:pos="2835"/>
        </w:tabs>
        <w:jc w:val="right"/>
        <w:rPr>
          <w:i/>
        </w:rPr>
      </w:pPr>
      <w:r>
        <w:rPr>
          <w:i/>
          <w:spacing w:val="-1"/>
        </w:rPr>
        <w:tab/>
      </w:r>
      <w:r w:rsidR="00105130" w:rsidRPr="00EB6A7F">
        <w:rPr>
          <w:i/>
          <w:spacing w:val="-1"/>
        </w:rPr>
        <w:t xml:space="preserve">© Periodica Polytechnica </w:t>
      </w:r>
      <w:r>
        <w:rPr>
          <w:i/>
          <w:spacing w:val="-1"/>
        </w:rPr>
        <w:t>year</w:t>
      </w:r>
    </w:p>
    <w:p w:rsidR="00105130" w:rsidRPr="00EB6A7F" w:rsidRDefault="00105130" w:rsidP="00EB6A7F">
      <w:pPr>
        <w:shd w:val="clear" w:color="auto" w:fill="FFFFFF"/>
        <w:spacing w:before="360"/>
        <w:ind w:left="284"/>
        <w:jc w:val="right"/>
        <w:rPr>
          <w:rFonts w:ascii="Arial" w:hAnsi="Arial" w:cs="Arial"/>
          <w:spacing w:val="-1"/>
          <w:lang w:val="en-US"/>
        </w:rPr>
      </w:pPr>
      <w:r w:rsidRPr="00EB6A7F">
        <w:rPr>
          <w:rFonts w:ascii="Arial" w:hAnsi="Arial" w:cs="Arial"/>
          <w:spacing w:val="-1"/>
          <w:lang w:val="en-US"/>
        </w:rPr>
        <w:t>RESEARCH ARTICLE</w:t>
      </w:r>
    </w:p>
    <w:p w:rsidR="00B66982" w:rsidRPr="001E4338" w:rsidRDefault="00105130" w:rsidP="001E4338">
      <w:pPr>
        <w:pStyle w:val="Cm"/>
        <w:spacing w:line="360" w:lineRule="auto"/>
        <w:rPr>
          <w:sz w:val="36"/>
          <w:szCs w:val="36"/>
          <w:lang w:val="en-GB"/>
        </w:rPr>
      </w:pPr>
      <w:r w:rsidRPr="00055B9A">
        <w:br w:type="column"/>
      </w:r>
      <w:r w:rsidR="001E4338" w:rsidRPr="00C12256">
        <w:rPr>
          <w:sz w:val="36"/>
          <w:szCs w:val="36"/>
          <w:lang w:val="en-GB"/>
        </w:rPr>
        <w:lastRenderedPageBreak/>
        <w:t xml:space="preserve">Environmental toxicity assessment of </w:t>
      </w:r>
      <w:r w:rsidR="001E4338">
        <w:rPr>
          <w:sz w:val="36"/>
          <w:szCs w:val="36"/>
          <w:lang w:val="en-GB"/>
        </w:rPr>
        <w:t xml:space="preserve">the spilled Ajka </w:t>
      </w:r>
      <w:r w:rsidR="001E4338" w:rsidRPr="00C12256">
        <w:rPr>
          <w:sz w:val="36"/>
          <w:szCs w:val="36"/>
          <w:lang w:val="en-GB"/>
        </w:rPr>
        <w:t>red mud in soil microcosms</w:t>
      </w:r>
      <w:r w:rsidR="001E4338">
        <w:rPr>
          <w:sz w:val="36"/>
          <w:szCs w:val="36"/>
          <w:lang w:val="en-GB"/>
        </w:rPr>
        <w:t xml:space="preserve"> for its potential utilisation as soil ameliorant</w:t>
      </w:r>
    </w:p>
    <w:p w:rsidR="00105130" w:rsidRPr="001E4338" w:rsidRDefault="001E4338" w:rsidP="00EB6A7F">
      <w:pPr>
        <w:pStyle w:val="Author"/>
        <w:rPr>
          <w:i/>
        </w:rPr>
      </w:pPr>
      <w:r>
        <w:t>Éva</w:t>
      </w:r>
      <w:r w:rsidR="00C446C3" w:rsidRPr="00DE4336">
        <w:t xml:space="preserve"> </w:t>
      </w:r>
      <w:r>
        <w:t>UJACZKI</w:t>
      </w:r>
      <w:r w:rsidR="00DE4336" w:rsidRPr="00DE4336">
        <w:rPr>
          <w:vertAlign w:val="superscript"/>
        </w:rPr>
        <w:t>1</w:t>
      </w:r>
      <w:r w:rsidR="00DE4336">
        <w:t>,</w:t>
      </w:r>
      <w:r>
        <w:t xml:space="preserve"> Orsolya</w:t>
      </w:r>
      <w:r w:rsidR="009B0C48" w:rsidRPr="00DE4336">
        <w:t xml:space="preserve"> </w:t>
      </w:r>
      <w:r>
        <w:t>KLEBERCZ</w:t>
      </w:r>
      <w:r w:rsidR="00DE4336" w:rsidRPr="00DE4336">
        <w:rPr>
          <w:vertAlign w:val="superscript"/>
        </w:rPr>
        <w:t>1</w:t>
      </w:r>
      <w:r w:rsidR="00DE4336">
        <w:t xml:space="preserve">, </w:t>
      </w:r>
      <w:r>
        <w:t>Viktória</w:t>
      </w:r>
      <w:r w:rsidR="009B0C48" w:rsidRPr="00DE4336">
        <w:t xml:space="preserve"> </w:t>
      </w:r>
      <w:r>
        <w:t>FEIGL</w:t>
      </w:r>
      <w:r>
        <w:rPr>
          <w:vertAlign w:val="superscript"/>
        </w:rPr>
        <w:t>1</w:t>
      </w:r>
      <w:r>
        <w:t>,</w:t>
      </w:r>
      <w:r w:rsidR="0060217B">
        <w:t xml:space="preserve"> </w:t>
      </w:r>
      <w:r>
        <w:t>Mónika MOLNÁR</w:t>
      </w:r>
      <w:r w:rsidRPr="00DE4336">
        <w:rPr>
          <w:vertAlign w:val="superscript"/>
        </w:rPr>
        <w:t>1</w:t>
      </w:r>
      <w:r>
        <w:t>, Ádám</w:t>
      </w:r>
      <w:r w:rsidRPr="00DE4336">
        <w:t xml:space="preserve"> </w:t>
      </w:r>
      <w:r>
        <w:t>MAGYAR</w:t>
      </w:r>
      <w:r w:rsidRPr="00DE4336">
        <w:rPr>
          <w:vertAlign w:val="superscript"/>
        </w:rPr>
        <w:t>1</w:t>
      </w:r>
      <w:r>
        <w:t>, Nikolett</w:t>
      </w:r>
      <w:r w:rsidRPr="00DE4336">
        <w:t xml:space="preserve"> </w:t>
      </w:r>
      <w:r>
        <w:t>UZINGER</w:t>
      </w:r>
      <w:r>
        <w:rPr>
          <w:vertAlign w:val="superscript"/>
        </w:rPr>
        <w:t>2</w:t>
      </w:r>
      <w:r>
        <w:t>, Katalin GRUIZ</w:t>
      </w:r>
      <w:r>
        <w:rPr>
          <w:vertAlign w:val="superscript"/>
        </w:rPr>
        <w:t>1</w:t>
      </w:r>
    </w:p>
    <w:p w:rsidR="0073370E" w:rsidRPr="0073370E" w:rsidRDefault="0073370E" w:rsidP="00602137">
      <w:pPr>
        <w:pStyle w:val="Author"/>
        <w:spacing w:before="480"/>
        <w:ind w:right="-748"/>
        <w:rPr>
          <w:rFonts w:ascii="Arial" w:hAnsi="Arial" w:cs="Arial"/>
        </w:rPr>
      </w:pPr>
      <w:r w:rsidRPr="0073370E">
        <w:rPr>
          <w:rFonts w:ascii="Arial" w:hAnsi="Arial" w:cs="Arial"/>
        </w:rPr>
        <w:t>Received 201x-xx-xx</w:t>
      </w:r>
    </w:p>
    <w:p w:rsidR="0073370E" w:rsidRPr="00055B9A" w:rsidRDefault="0073370E" w:rsidP="00EB6A7F">
      <w:pPr>
        <w:pStyle w:val="Author"/>
        <w:sectPr w:rsidR="0073370E" w:rsidRPr="00055B9A" w:rsidSect="00B309F6">
          <w:headerReference w:type="default" r:id="rId8"/>
          <w:footerReference w:type="even" r:id="rId9"/>
          <w:footerReference w:type="default" r:id="rId10"/>
          <w:type w:val="continuous"/>
          <w:pgSz w:w="11909" w:h="16834"/>
          <w:pgMar w:top="1134" w:right="1134" w:bottom="1134" w:left="1134" w:header="709" w:footer="709" w:gutter="0"/>
          <w:cols w:num="2" w:space="708" w:equalWidth="0">
            <w:col w:w="2749" w:space="456"/>
            <w:col w:w="5346"/>
          </w:cols>
          <w:noEndnote/>
          <w:docGrid w:linePitch="272"/>
        </w:sectPr>
      </w:pPr>
    </w:p>
    <w:p w:rsidR="00105130" w:rsidRPr="00055B9A" w:rsidRDefault="001F5A6B" w:rsidP="00EB6A7F">
      <w:pPr>
        <w:sectPr w:rsidR="00105130" w:rsidRPr="00055B9A" w:rsidSect="00B309F6">
          <w:type w:val="continuous"/>
          <w:pgSz w:w="11909" w:h="16834"/>
          <w:pgMar w:top="1134" w:right="1134" w:bottom="1134" w:left="1134" w:header="708" w:footer="708" w:gutter="0"/>
          <w:cols w:space="60"/>
          <w:noEndnote/>
          <w:docGrid w:linePitch="272"/>
        </w:sectPr>
      </w:pPr>
      <w:r w:rsidRPr="00055B9A">
        <w:lastRenderedPageBreak/>
        <w:t xml:space="preserve"> </w:t>
      </w:r>
    </w:p>
    <w:p w:rsidR="00BE006F" w:rsidRDefault="00105130" w:rsidP="00BE006F">
      <w:pPr>
        <w:pStyle w:val="Header1AbsKeywAckn"/>
      </w:pPr>
      <w:r w:rsidRPr="00055B9A">
        <w:lastRenderedPageBreak/>
        <w:t>Abstract</w:t>
      </w:r>
    </w:p>
    <w:p w:rsidR="00BE006F" w:rsidRDefault="00BE006F" w:rsidP="00BE006F">
      <w:pPr>
        <w:pStyle w:val="Abstract"/>
        <w:rPr>
          <w:szCs w:val="24"/>
          <w:lang w:val="en-GB"/>
        </w:rPr>
      </w:pPr>
      <w:r w:rsidRPr="00BE006F">
        <w:t>After the red mud spill in Hungary</w:t>
      </w:r>
      <w:r w:rsidR="00E23436">
        <w:t xml:space="preserve"> o</w:t>
      </w:r>
      <w:r w:rsidRPr="00BE006F">
        <w:t>ne of the risk reduction measures was to remove the deposits from the soil surface</w:t>
      </w:r>
      <w:r w:rsidR="000E5F9D">
        <w:t>.</w:t>
      </w:r>
      <w:r w:rsidRPr="00BE006F">
        <w:t xml:space="preserve"> The residual thin red mud layer was ploughed in</w:t>
      </w:r>
      <w:r w:rsidR="00E23436">
        <w:t>to the soil</w:t>
      </w:r>
      <w:r w:rsidRPr="00BE006F">
        <w:t xml:space="preserve">. The aim of the </w:t>
      </w:r>
      <w:r w:rsidR="00E23436">
        <w:t xml:space="preserve">present </w:t>
      </w:r>
      <w:r w:rsidR="00E23436" w:rsidRPr="00BE006F">
        <w:t xml:space="preserve">8-month-long lab-scale microcosm </w:t>
      </w:r>
      <w:r w:rsidRPr="00BE006F">
        <w:t xml:space="preserve">experiment was to estimate the red mud amount with no adverse effects on the soil as natural habitat and to assess the mid-term environmental risk of red mud mixed into the soil. The red mud ratio mixed into the soil </w:t>
      </w:r>
      <w:r w:rsidR="005C2ED5">
        <w:t>ranged between 0–40 </w:t>
      </w:r>
      <w:r w:rsidRPr="00BE006F">
        <w:t xml:space="preserve">%. The </w:t>
      </w:r>
      <w:r w:rsidR="004C051F">
        <w:t>experiments</w:t>
      </w:r>
      <w:r w:rsidRPr="00BE006F">
        <w:t xml:space="preserve"> were monitored by </w:t>
      </w:r>
      <w:r w:rsidR="00F10CB8">
        <w:t>physico-</w:t>
      </w:r>
      <w:r w:rsidRPr="00BE006F">
        <w:t>chemical, biological and ecotoxicological methods. Mixing of 5 % red mud into the soil significantly increased the total As, Cr, Ni, Pb and N</w:t>
      </w:r>
      <w:r w:rsidR="00F10CB8">
        <w:t>a content of the soil, but it</w:t>
      </w:r>
      <w:r w:rsidRPr="00BE006F">
        <w:t xml:space="preserve"> did not exceed the Hungarian</w:t>
      </w:r>
      <w:r w:rsidR="005C2ED5">
        <w:t xml:space="preserve"> </w:t>
      </w:r>
      <w:r w:rsidR="0014789F">
        <w:t xml:space="preserve">soil </w:t>
      </w:r>
      <w:r w:rsidR="005C2ED5">
        <w:t>quality criteria</w:t>
      </w:r>
      <w:r w:rsidR="00F10CB8">
        <w:t xml:space="preserve">. </w:t>
      </w:r>
      <w:r w:rsidR="005C2ED5" w:rsidRPr="005C2ED5">
        <w:t>T</w:t>
      </w:r>
      <w:r w:rsidR="005C2ED5">
        <w:t>he microcosms containing 5 </w:t>
      </w:r>
      <w:r w:rsidR="005C2ED5" w:rsidRPr="005C2ED5">
        <w:t xml:space="preserve">% red mud did not show any adverse effects on the </w:t>
      </w:r>
      <w:r w:rsidR="00044D98">
        <w:t>testorganisms</w:t>
      </w:r>
      <w:r w:rsidR="005C2ED5" w:rsidRPr="005C2ED5">
        <w:t>.</w:t>
      </w:r>
      <w:r w:rsidR="005C2ED5">
        <w:t xml:space="preserve"> </w:t>
      </w:r>
      <w:r w:rsidR="00044D98">
        <w:t>Overall,</w:t>
      </w:r>
      <w:r w:rsidRPr="00BE006F">
        <w:t xml:space="preserve"> 5</w:t>
      </w:r>
      <w:r w:rsidR="005C2ED5">
        <w:t> </w:t>
      </w:r>
      <w:r w:rsidRPr="00BE006F">
        <w:t>% the red mud could be mixed into the soil without any mi</w:t>
      </w:r>
      <w:r w:rsidR="00F10CB8">
        <w:t>d-term adverse effects</w:t>
      </w:r>
      <w:r w:rsidRPr="00BE006F">
        <w:t>.</w:t>
      </w:r>
    </w:p>
    <w:p w:rsidR="00401DC0" w:rsidRPr="00CF0895" w:rsidRDefault="00401DC0" w:rsidP="00401DC0">
      <w:pPr>
        <w:pStyle w:val="Abstract"/>
      </w:pPr>
    </w:p>
    <w:p w:rsidR="00105130" w:rsidRPr="00CF0895" w:rsidRDefault="00105130" w:rsidP="00CF0895">
      <w:pPr>
        <w:pStyle w:val="Header1AbsKeywAckn"/>
      </w:pPr>
      <w:r w:rsidRPr="00CF0895">
        <w:t>Keywords</w:t>
      </w:r>
      <w:r w:rsidR="0060217B" w:rsidRPr="00CF0895">
        <w:t xml:space="preserve"> </w:t>
      </w:r>
    </w:p>
    <w:p w:rsidR="00BE006F" w:rsidRPr="00BE006F" w:rsidRDefault="00BE006F" w:rsidP="00BE006F">
      <w:pPr>
        <w:pStyle w:val="Abstract"/>
      </w:pPr>
      <w:r w:rsidRPr="00BE006F">
        <w:t>red mud, Ajka red mud spill, soil amendment, ecotoxicology, soil microcosm</w:t>
      </w:r>
    </w:p>
    <w:p w:rsidR="00BE006F" w:rsidRDefault="00BE006F" w:rsidP="00CF0895">
      <w:pPr>
        <w:pStyle w:val="Abstract"/>
      </w:pPr>
    </w:p>
    <w:p w:rsidR="00105130" w:rsidRPr="00055B9A" w:rsidRDefault="00105130" w:rsidP="00CF0895">
      <w:pPr>
        <w:pStyle w:val="Header1AbsKeywAckn"/>
      </w:pPr>
      <w:r w:rsidRPr="00055B9A">
        <w:t>Acknowledgement</w:t>
      </w:r>
      <w:r w:rsidR="0060217B">
        <w:t xml:space="preserve"> </w:t>
      </w:r>
    </w:p>
    <w:p w:rsidR="00BE006F" w:rsidRPr="00BE006F" w:rsidRDefault="00BE006F" w:rsidP="00CF0895">
      <w:pPr>
        <w:pStyle w:val="Abstract"/>
      </w:pPr>
      <w:r w:rsidRPr="00BE006F">
        <w:t>The financial supports of the National Innovation Office (TECH_09-A4-2009-0129, SOILUTIL project) and the New Hungary Development Plan (TÁMOP-4.2.1/B-09/1/KMR-2010-0002) are greatly acknowledged. We are grateful to the ISSAC CAR HAS (Institute for Soil Sciences and Agricultural, Chemistry, Centre for Agricultural Research, Hungarian Academy of Sciences) for the chemical analysis. We thank Emese Vaszita for her contribution to writing and language editing of the manuscript.</w:t>
      </w:r>
    </w:p>
    <w:p w:rsidR="00105130" w:rsidRPr="000B47BB" w:rsidRDefault="0060217B" w:rsidP="000B47BB">
      <w:pPr>
        <w:pStyle w:val="Affiliation"/>
      </w:pPr>
      <w:r w:rsidRPr="000B47BB">
        <w:rPr>
          <w:vertAlign w:val="superscript"/>
        </w:rPr>
        <w:lastRenderedPageBreak/>
        <w:t>1</w:t>
      </w:r>
      <w:r w:rsidR="00105130" w:rsidRPr="000B47BB">
        <w:t xml:space="preserve">Department of </w:t>
      </w:r>
      <w:r w:rsidR="001E4338">
        <w:t>Applied Biotechnology and Food Science</w:t>
      </w:r>
      <w:r w:rsidR="00D304A1">
        <w:t>,</w:t>
      </w:r>
      <w:r w:rsidR="00BE69BC">
        <w:br/>
      </w:r>
      <w:r w:rsidRPr="000B47BB">
        <w:t>Budapest University of Tech</w:t>
      </w:r>
      <w:r w:rsidR="00D304A1">
        <w:t>ology</w:t>
      </w:r>
      <w:r w:rsidRPr="000B47BB">
        <w:t xml:space="preserve"> and Econ</w:t>
      </w:r>
      <w:r w:rsidR="00D304A1">
        <w:t>omics</w:t>
      </w:r>
      <w:r w:rsidR="00BE69BC">
        <w:br/>
      </w:r>
      <w:r w:rsidR="00105130" w:rsidRPr="000B47BB">
        <w:t>H-1</w:t>
      </w:r>
      <w:r w:rsidR="001E4338">
        <w:t>111</w:t>
      </w:r>
      <w:r w:rsidR="00105130" w:rsidRPr="000B47BB">
        <w:t xml:space="preserve"> Budapest,</w:t>
      </w:r>
      <w:r w:rsidR="000B47BB" w:rsidRPr="000B47BB">
        <w:t xml:space="preserve"> </w:t>
      </w:r>
      <w:r w:rsidR="001E4338">
        <w:t>Szent Gellért square 4</w:t>
      </w:r>
      <w:r w:rsidR="000B47BB" w:rsidRPr="000B47BB">
        <w:t xml:space="preserve">, </w:t>
      </w:r>
      <w:r w:rsidR="00105130" w:rsidRPr="000B47BB">
        <w:t>Hungary</w:t>
      </w:r>
      <w:r w:rsidR="00173F19" w:rsidRPr="000B47BB">
        <w:t xml:space="preserve"> </w:t>
      </w:r>
      <w:r w:rsidR="00DD1495" w:rsidRPr="000B47BB">
        <w:t>(</w:t>
      </w:r>
      <w:r w:rsidR="00105130" w:rsidRPr="000B47BB">
        <w:t>e­mail:</w:t>
      </w:r>
      <w:r w:rsidR="00DD1495" w:rsidRPr="000B47BB">
        <w:t xml:space="preserve"> </w:t>
      </w:r>
      <w:r w:rsidR="001E4338" w:rsidRPr="001E4338">
        <w:rPr>
          <w:rStyle w:val="Hiperhivatkozs"/>
        </w:rPr>
        <w:t>ujaczki.eva@mail.bme.hu</w:t>
      </w:r>
      <w:r w:rsidR="00DD1495" w:rsidRPr="000B47BB">
        <w:t>)</w:t>
      </w:r>
    </w:p>
    <w:p w:rsidR="002C3260" w:rsidRDefault="000B47BB" w:rsidP="000B47BB">
      <w:pPr>
        <w:pStyle w:val="Affiliation"/>
      </w:pPr>
      <w:r w:rsidRPr="000B47BB">
        <w:rPr>
          <w:vertAlign w:val="superscript"/>
        </w:rPr>
        <w:t>2</w:t>
      </w:r>
      <w:r w:rsidR="001E4338">
        <w:t>Institute for Soil Sciences and Agricultural Chemistry</w:t>
      </w:r>
      <w:r w:rsidR="00DD1495" w:rsidRPr="00055B9A">
        <w:t>,</w:t>
      </w:r>
      <w:r w:rsidR="001E4338">
        <w:br/>
        <w:t>Centre for Agricultural Research</w:t>
      </w:r>
      <w:r>
        <w:t>,</w:t>
      </w:r>
      <w:r w:rsidR="00BE69BC">
        <w:br/>
      </w:r>
      <w:r w:rsidR="001E4338">
        <w:t>Hungarian Academy of Sciences</w:t>
      </w:r>
      <w:r w:rsidRPr="000B47BB">
        <w:t>,</w:t>
      </w:r>
      <w:r w:rsidR="00E07807">
        <w:br/>
      </w:r>
      <w:r w:rsidR="00DD1495" w:rsidRPr="00055B9A">
        <w:t>H-1</w:t>
      </w:r>
      <w:r w:rsidR="001E4338">
        <w:t>022</w:t>
      </w:r>
      <w:r w:rsidR="00DD1495" w:rsidRPr="00055B9A">
        <w:t xml:space="preserve"> Budapest, </w:t>
      </w:r>
      <w:r w:rsidR="00BE006F">
        <w:t>Herman Ottó street 15</w:t>
      </w:r>
      <w:r>
        <w:t xml:space="preserve">, </w:t>
      </w:r>
      <w:r w:rsidRPr="000B47BB">
        <w:t>Hungary</w:t>
      </w:r>
    </w:p>
    <w:p w:rsidR="00D37F72" w:rsidRDefault="00D37F72" w:rsidP="00D37F72"/>
    <w:p w:rsidR="00105130" w:rsidRPr="00055B9A" w:rsidRDefault="00105130" w:rsidP="00BE006F">
      <w:pPr>
        <w:pStyle w:val="Cmsor1"/>
        <w:numPr>
          <w:ilvl w:val="0"/>
          <w:numId w:val="15"/>
        </w:numPr>
      </w:pPr>
      <w:r w:rsidRPr="00055B9A">
        <w:t>Introduction</w:t>
      </w:r>
    </w:p>
    <w:p w:rsidR="00BE006F" w:rsidRPr="00BE006F" w:rsidRDefault="00BE006F" w:rsidP="00BE006F">
      <w:r w:rsidRPr="00BE006F">
        <w:t>At present the global demand for aluminium metal is increasing because of its use for packaging and construction, from the fabrication of fuselages and car parts to disposable containers and various consumer durables [1]. For that very reason the amount of red mud, the industrial by-product of bauxite processing to aluminium via the Bayer process, is increasing, and its appropriate management is an environmental concern, as an estimated 2.7 billion tonnes of red mud is produced worldwide every year and this amount will be increasing probably by approximately 120 million tonnes per annum [1].</w:t>
      </w:r>
      <w:r w:rsidR="00F10CB8">
        <w:t xml:space="preserve"> </w:t>
      </w:r>
      <w:r w:rsidRPr="00BE006F">
        <w:t xml:space="preserve">Red mud is the slurry by-product generated from the treatment of bauxite with concentrated NaOH under elevated temperature and pressure by Bayer process [2]. Therefore it is highly alkaline with a pH usually ranging from 10 to 13 [3, 4]. </w:t>
      </w:r>
    </w:p>
    <w:p w:rsidR="0014789F" w:rsidRDefault="00BE006F" w:rsidP="00BE006F">
      <w:r w:rsidRPr="00BE006F">
        <w:t xml:space="preserve">Previously there were only two main red mud disposal methods: marine discharge and lagooning on land. Marine disposal caused adverse effects on the aquatic environment, which inspired new approaches to residue management [5]. The land-based disposal method traditionally adopted was one of wet disposal where red mud (15–30 % solids) is deposited on the land surface with additional construction of dams. The management of leachate water is necessary due to the high risk of seepage of alkaline solution to groundwater and it takes many years for the deposit to consolidate [6]. </w:t>
      </w:r>
    </w:p>
    <w:p w:rsidR="00BE006F" w:rsidRPr="00BE006F" w:rsidRDefault="00BE006F" w:rsidP="00BE006F">
      <w:r w:rsidRPr="00BE006F">
        <w:lastRenderedPageBreak/>
        <w:t xml:space="preserve">The risks associated with alkalinity are reduced in case of dry stacking methods, where the red slurry is stored in solids phase (48–50 % solid content) in storage areas [7]. A special way of dry disposal is the dry cake method, where a dry cake with solid's content of 65 % is produced prior to disposal by filtration [8]. </w:t>
      </w:r>
    </w:p>
    <w:p w:rsidR="00BE006F" w:rsidRPr="00BE006F" w:rsidRDefault="00BE006F" w:rsidP="00BE006F">
      <w:r w:rsidRPr="00BE006F">
        <w:t xml:space="preserve">About one million cubic meters of highly alkaline (pH=13) red mud flooded three Hungarian villages on October 4, 2010, after the wall of the dam of a red mud reservoir in Ajka, degraded by the corrosive alkaline red mud, had failed [9, 10]. The red mud reservoir of the Ajka alumina plant stored 3–4 million m3 of red mud wherefrom 800.000 m3 of slurry was released into the environment [11]. </w:t>
      </w:r>
    </w:p>
    <w:p w:rsidR="00BE006F" w:rsidRPr="00BE006F" w:rsidRDefault="00BE006F" w:rsidP="00BE006F">
      <w:r w:rsidRPr="00BE006F">
        <w:t>The spilled alkaline slurry affected several environmental elements, including the surface layers of the soil, the surface waters and their sediments [9]. As an immediate emergency measure the red mud layer was removed from the soil surface in residential areas and the surface water was neutralised by acid dosing (acetic, hydrochloric, nitric) [12]. Following the catastrophe the immediate assessment of the short-term environmental risk of red mud was required, given its high alkalinity and elevated Na content. According to previous studies on the risks associated with red mud the toxic metals and radioactive isotopes were also considered. Burke et al. [13] found that the high alkalinity has mobilized some of the toxic metals, typically As, Cr, Ni, Se and V. Assessing the long term risk of the high Na-concentration Gruiz et al. [9] found that it increased the risk of sodification. According to Grundy et al. [14] the red mud exposure does not appear to have posed any immediate genotoxic hazard on inhabitants after the Ajka red mud spill.</w:t>
      </w:r>
    </w:p>
    <w:p w:rsidR="00BE006F" w:rsidRPr="00BE006F" w:rsidRDefault="00BE006F" w:rsidP="00BE006F">
      <w:r w:rsidRPr="00BE006F">
        <w:t>Apart from its highly alkaline pH (pH=11 on the average) and high sodium content owing to the digestion step of the Bayer process, red mud is a recyclable and reusable material with beneficial properties [15]. Utilization of red mud has environmental and economic importance because of its composition and annually generated amount [16, 17]. Some attempts have been made to apply red mud for soil improvement. Red mud has been applied in agriculture for the improvement of acid sulphate soils [18, 19]. It is proven to be effective in raising the pH of soils with high organic matter content [20] and low pH [21]. Red mud can also be applied for chemical stabilization of metal contaminated soils [22, 23, 24, 25, 26, 27]. However, no combination of afteruses are currently sufficient to avoid terrestrial disposal of the majority of red mud arisings globally.</w:t>
      </w:r>
    </w:p>
    <w:p w:rsidR="00BE006F" w:rsidRDefault="00BE006F" w:rsidP="00BE006F">
      <w:pPr>
        <w:rPr>
          <w:i/>
        </w:rPr>
      </w:pPr>
      <w:r w:rsidRPr="00BE006F">
        <w:t>Further to the 2010 red mud spill the topsoil in the affected residential and grassland areas</w:t>
      </w:r>
      <w:r w:rsidRPr="00BE006F" w:rsidDel="007D0782">
        <w:t xml:space="preserve"> </w:t>
      </w:r>
      <w:r w:rsidRPr="00BE006F">
        <w:t xml:space="preserve">was overlain by 3−45 cm thick red mud deposits [28], wherefrom the alkali solution infiltrated into the underlying soil [9]. The red mud deposit was recovered and the (&gt;5 cm) residual red mud layers were ploughed into the soil, since the available mechanical tools could not remove the very thin red mud layers from the soil surface [9, </w:t>
      </w:r>
      <w:r>
        <w:t>29</w:t>
      </w:r>
      <w:r w:rsidRPr="00BE006F">
        <w:t>]. Soil microcosm experiments have been conducted to determine the maximum proportion of red mud which may be mixed into the soil with no adverse effect on the soil as natural habitat. The experiments were monitored by an integrated approach, combining physical, chemical, microbiological and eco-toxicological methods. The aim of our experiment was to predict the red mud amount that poses no risk on the mid-term to the environment when mixed into the soil in view of its potential utilisation as soil ameliorant in the future. Studying of the mid-term effect of red mud mixed into soil is novel as compared to other studies conducted so far [28, 25, 30]. These studies have focused on the relatively short term effect of red mud on the soil surface, while the effect of mixing red mud into the soil was studied only by Ruyters et al. [31]. In addition, our study targets potential utilisation of red mud as soil ameliorant.</w:t>
      </w:r>
    </w:p>
    <w:p w:rsidR="00BE006F" w:rsidRDefault="00BE006F" w:rsidP="00BE006F">
      <w:pPr>
        <w:pStyle w:val="Cmsor1"/>
        <w:numPr>
          <w:ilvl w:val="0"/>
          <w:numId w:val="15"/>
        </w:numPr>
      </w:pPr>
      <w:r>
        <w:t>Materials and methods</w:t>
      </w:r>
    </w:p>
    <w:p w:rsidR="00BE006F" w:rsidRPr="00DA57F9" w:rsidRDefault="00BE006F" w:rsidP="00BE006F">
      <w:pPr>
        <w:pStyle w:val="Cmsor1"/>
        <w:numPr>
          <w:ilvl w:val="1"/>
          <w:numId w:val="15"/>
        </w:numPr>
        <w:spacing w:line="240" w:lineRule="auto"/>
        <w:rPr>
          <w:sz w:val="20"/>
          <w:szCs w:val="20"/>
        </w:rPr>
      </w:pPr>
      <w:r w:rsidRPr="00DA57F9">
        <w:rPr>
          <w:sz w:val="20"/>
          <w:szCs w:val="20"/>
        </w:rPr>
        <w:t>Experimental set-up</w:t>
      </w:r>
    </w:p>
    <w:p w:rsidR="00BE006F" w:rsidRPr="00DA57F9" w:rsidRDefault="00BE006F" w:rsidP="00DA57F9">
      <w:r w:rsidRPr="00DA57F9">
        <w:t>The red mud (RM) samples for laboratory experiments were collected from an area flooded by red mud along the Torna-creak (47° 6' 53.1072"N, 17° 23' 5.1792"E), approximately 15 km West from the source of the spill 4 months after the catastrophe. By the time of sampling the pH of the spilled red mud had already decreased to 10.2 from 13.0 which was the average pH of the red mud in the Ajka red mud storage facility. The red mud was</w:t>
      </w:r>
      <w:r w:rsidR="00D37F72">
        <w:t xml:space="preserve"> mixed with sandy soil (S) at 0 </w:t>
      </w:r>
      <w:r w:rsidR="00D37F72" w:rsidRPr="00D37F72">
        <w:rPr>
          <w:vertAlign w:val="superscript"/>
        </w:rPr>
        <w:t>w</w:t>
      </w:r>
      <w:r w:rsidR="00D37F72" w:rsidRPr="00DA57F9">
        <w:t>/</w:t>
      </w:r>
      <w:r w:rsidR="00D37F72" w:rsidRPr="00D37F72">
        <w:rPr>
          <w:vertAlign w:val="subscript"/>
        </w:rPr>
        <w:t>w</w:t>
      </w:r>
      <w:r w:rsidR="00D37F72">
        <w:t> </w:t>
      </w:r>
      <w:r w:rsidRPr="00DA57F9">
        <w:t>% (untreated con</w:t>
      </w:r>
      <w:r w:rsidR="00D37F72">
        <w:t>trol), 5 </w:t>
      </w:r>
      <w:r w:rsidR="00D37F72" w:rsidRPr="00D37F72">
        <w:rPr>
          <w:vertAlign w:val="superscript"/>
        </w:rPr>
        <w:t>w</w:t>
      </w:r>
      <w:r w:rsidR="00D37F72" w:rsidRPr="00DA57F9">
        <w:t>/</w:t>
      </w:r>
      <w:r w:rsidR="00D37F72" w:rsidRPr="00D37F72">
        <w:rPr>
          <w:vertAlign w:val="subscript"/>
        </w:rPr>
        <w:t>w</w:t>
      </w:r>
      <w:r w:rsidR="00D37F72">
        <w:t> %, 10 </w:t>
      </w:r>
      <w:r w:rsidR="00D37F72" w:rsidRPr="00D37F72">
        <w:rPr>
          <w:vertAlign w:val="superscript"/>
        </w:rPr>
        <w:t>w</w:t>
      </w:r>
      <w:r w:rsidR="00D37F72" w:rsidRPr="00DA57F9">
        <w:t>/</w:t>
      </w:r>
      <w:r w:rsidR="00D37F72" w:rsidRPr="00D37F72">
        <w:rPr>
          <w:vertAlign w:val="subscript"/>
        </w:rPr>
        <w:t>w</w:t>
      </w:r>
      <w:r w:rsidR="00D37F72">
        <w:t> %, 20 </w:t>
      </w:r>
      <w:r w:rsidR="00D37F72" w:rsidRPr="00D37F72">
        <w:rPr>
          <w:vertAlign w:val="superscript"/>
        </w:rPr>
        <w:t>w</w:t>
      </w:r>
      <w:r w:rsidR="00D37F72" w:rsidRPr="00DA57F9">
        <w:t>/</w:t>
      </w:r>
      <w:r w:rsidR="00D37F72" w:rsidRPr="00D37F72">
        <w:rPr>
          <w:vertAlign w:val="subscript"/>
        </w:rPr>
        <w:t>w</w:t>
      </w:r>
      <w:r w:rsidR="00D37F72">
        <w:t> %, 30 </w:t>
      </w:r>
      <w:r w:rsidRPr="00D37F72">
        <w:rPr>
          <w:vertAlign w:val="superscript"/>
        </w:rPr>
        <w:t>w</w:t>
      </w:r>
      <w:r w:rsidRPr="00DA57F9">
        <w:t>/</w:t>
      </w:r>
      <w:r w:rsidRPr="00D37F72">
        <w:rPr>
          <w:vertAlign w:val="subscript"/>
        </w:rPr>
        <w:t>w</w:t>
      </w:r>
      <w:r w:rsidR="00D37F72">
        <w:t> % and 40 </w:t>
      </w:r>
      <w:r w:rsidR="00D37F72" w:rsidRPr="00D37F72">
        <w:rPr>
          <w:vertAlign w:val="superscript"/>
        </w:rPr>
        <w:t>w</w:t>
      </w:r>
      <w:r w:rsidR="00D37F72" w:rsidRPr="00DA57F9">
        <w:t>/</w:t>
      </w:r>
      <w:r w:rsidR="00D37F72" w:rsidRPr="00D37F72">
        <w:rPr>
          <w:vertAlign w:val="subscript"/>
        </w:rPr>
        <w:t>w</w:t>
      </w:r>
      <w:r w:rsidR="00D37F72">
        <w:t> </w:t>
      </w:r>
      <w:r w:rsidRPr="00DA57F9">
        <w:t xml:space="preserve">%, respectively. The sandy soil sample (S) was taken from the red mud flooded grassland between Somlóvásárhely and Devecser (47° 6' 48.2178", 17° 24' 20.3112") 4 months after the accident once the red mud had been removed from its surface and, the alkalinity had already been washed off by snowmelt and rain as shown in Table 1 [9]. </w:t>
      </w:r>
      <w:r w:rsidRPr="0014664E">
        <w:t>The</w:t>
      </w:r>
      <w:r w:rsidRPr="0035644B">
        <w:t xml:space="preserve"> soil is characteristically of light texture (pebbly sand, sand or loamy sand), though silty or clayey intrusion</w:t>
      </w:r>
      <w:r>
        <w:t>s</w:t>
      </w:r>
      <w:r w:rsidRPr="0035644B">
        <w:t xml:space="preserve"> occur in places</w:t>
      </w:r>
      <w:r>
        <w:t xml:space="preserve"> [28]. </w:t>
      </w:r>
      <w:r w:rsidRPr="00DA57F9">
        <w:t>The experimental setup included also a reference, uncontaminated soil (R), collected from a grass-land nearby Ajka (47° 6' 43.4448", 17° 23' 35.3646"), not affected by the 2010 red mud spill.</w:t>
      </w:r>
    </w:p>
    <w:p w:rsidR="0014789F" w:rsidRDefault="00BE006F" w:rsidP="00BE006F">
      <w:r w:rsidRPr="00DA57F9">
        <w:t xml:space="preserve">The soil / red mud mixtures and the untreated soil (S) were placed into 2 kg flowerpots (microcosms). Triplicate experiments were performed as a check on data reproducibility. </w:t>
      </w:r>
    </w:p>
    <w:p w:rsidR="00BE006F" w:rsidRDefault="00BE006F" w:rsidP="00BE006F">
      <w:r w:rsidRPr="00DA57F9">
        <w:t>The microcosms were open and their moisture content was set to 60 % of their maximum water holding capacity. The microcosms were irrigated with tap water to their initial water content, every second week. The soil microcosms were maintained at room temperature (25 °C) for 8 months. Samples were taken from the static solid phase microcosms after the first, the second and the eighth month.</w:t>
      </w:r>
    </w:p>
    <w:p w:rsidR="00DA57F9" w:rsidRPr="00DA57F9" w:rsidRDefault="00DA57F9" w:rsidP="00DA57F9">
      <w:pPr>
        <w:pStyle w:val="Cmsor1"/>
        <w:numPr>
          <w:ilvl w:val="1"/>
          <w:numId w:val="15"/>
        </w:numPr>
        <w:spacing w:line="240" w:lineRule="auto"/>
        <w:rPr>
          <w:sz w:val="20"/>
          <w:szCs w:val="20"/>
        </w:rPr>
      </w:pPr>
      <w:r>
        <w:rPr>
          <w:sz w:val="20"/>
          <w:szCs w:val="20"/>
        </w:rPr>
        <w:t xml:space="preserve">Integrated methodology for soil </w:t>
      </w:r>
      <w:r w:rsidRPr="00C53324">
        <w:rPr>
          <w:sz w:val="20"/>
          <w:szCs w:val="20"/>
        </w:rPr>
        <w:t>characterisation and monitoring</w:t>
      </w:r>
    </w:p>
    <w:p w:rsidR="00DA57F9" w:rsidRPr="00DA57F9" w:rsidRDefault="00DA57F9" w:rsidP="00DA57F9">
      <w:r w:rsidRPr="00DA57F9">
        <w:t>We monitored the effects of different red mud doses on the soil ecosystem with a complex methodology that integrates physical, chemical, biochemical analysis and ecotoxicity testing [32, 33].</w:t>
      </w:r>
    </w:p>
    <w:p w:rsidR="00DA57F9" w:rsidRPr="00DA57F9" w:rsidRDefault="00DA57F9" w:rsidP="00DA57F9">
      <w:pPr>
        <w:pStyle w:val="Cmsor1"/>
        <w:numPr>
          <w:ilvl w:val="2"/>
          <w:numId w:val="15"/>
        </w:numPr>
        <w:spacing w:line="240" w:lineRule="auto"/>
        <w:rPr>
          <w:sz w:val="20"/>
          <w:szCs w:val="20"/>
        </w:rPr>
      </w:pPr>
      <w:r w:rsidRPr="00C53324">
        <w:rPr>
          <w:sz w:val="20"/>
          <w:szCs w:val="20"/>
        </w:rPr>
        <w:t>Chemical analysis</w:t>
      </w:r>
    </w:p>
    <w:p w:rsidR="00DA57F9" w:rsidRPr="00C53324" w:rsidRDefault="00DA57F9" w:rsidP="00DA57F9">
      <w:pPr>
        <w:rPr>
          <w:rFonts w:ascii="Arial" w:hAnsi="Arial" w:cs="Arial"/>
        </w:rPr>
      </w:pPr>
      <w:r w:rsidRPr="00DA57F9">
        <w:t xml:space="preserve">The total metal concentration was measured after aqua regia digestion (3:1 hydrochloric acid–nitric acid ratio; 1:4 soil extractant ratio; 2 hrs at 25 °C; microwave digestion) by ICP-AES (Jobin-Yvon Ultima 2 sequential instrument), according to Hungarian Standard 21470-50:2006. To predict the mobile (water-soluble) metal concentrations we analyzed the distilled water extract of the samples (pH 7.0; 1:10 soil extractant ratio; agitation for 4 hrs at 25 °C, HS 21978-9:1998). The pH was determined according to the Hungarian Standard (MSZ-08-0206/2-1978) at a 1:2.5 soil:water suspension after 12 hours. </w:t>
      </w:r>
    </w:p>
    <w:p w:rsidR="00DA57F9" w:rsidRPr="00DA57F9" w:rsidRDefault="00DA57F9" w:rsidP="00DA57F9">
      <w:pPr>
        <w:pStyle w:val="Cmsor1"/>
        <w:numPr>
          <w:ilvl w:val="2"/>
          <w:numId w:val="15"/>
        </w:numPr>
        <w:spacing w:line="240" w:lineRule="auto"/>
        <w:rPr>
          <w:sz w:val="20"/>
          <w:szCs w:val="20"/>
        </w:rPr>
      </w:pPr>
      <w:r w:rsidRPr="00C53324">
        <w:rPr>
          <w:sz w:val="20"/>
          <w:szCs w:val="20"/>
        </w:rPr>
        <w:t>Experimental design of biological and ecotoxicological measurements</w:t>
      </w:r>
    </w:p>
    <w:p w:rsidR="00DA57F9" w:rsidRPr="00DA57F9" w:rsidRDefault="00DA57F9" w:rsidP="00DA57F9">
      <w:r w:rsidRPr="00DA57F9">
        <w:t xml:space="preserve">The microbiological and ecotoxicological tests were carried out in three replications. The environmental toxicity tests measured the integrated adverse effects on testorganisms from three trophic levels: </w:t>
      </w:r>
      <w:r w:rsidRPr="00201660">
        <w:rPr>
          <w:i/>
        </w:rPr>
        <w:t>Aliivibrio fischeri</w:t>
      </w:r>
      <w:r w:rsidRPr="00DA57F9">
        <w:t xml:space="preserve"> (luminescent bacterium), </w:t>
      </w:r>
      <w:r w:rsidRPr="00201660">
        <w:rPr>
          <w:i/>
        </w:rPr>
        <w:t>Sinapis alba</w:t>
      </w:r>
      <w:r w:rsidRPr="00DA57F9">
        <w:t xml:space="preserve"> (plant) and </w:t>
      </w:r>
      <w:r w:rsidRPr="00201660">
        <w:rPr>
          <w:i/>
        </w:rPr>
        <w:t>Folsomia candida</w:t>
      </w:r>
      <w:r w:rsidRPr="00DA57F9">
        <w:t xml:space="preserve"> (animal).</w:t>
      </w:r>
    </w:p>
    <w:p w:rsidR="00DA57F9" w:rsidRPr="00DA57F9" w:rsidRDefault="00DA57F9" w:rsidP="00DA57F9">
      <w:r w:rsidRPr="00DA57F9">
        <w:t xml:space="preserve">The number of aerobic living cells in soil was determined in each soil sample by colony counting after cultivation of microorganisms occurring in soil suspensions [34]. Soil suspension was prepared as follows: 1 g fresh soil was placed into 9 ml sterilized tap water (sterilized in an autoclave, 10 min at 121 ºC) and was shaken for 30 minutes at 200 rpm, then from the soil suspension decimal dilution series were prepared. For the cultivation 100 µl from each dilution was pipetted into Petri-dishes. The nutrient agar was </w:t>
      </w:r>
      <w:r w:rsidRPr="00B31971">
        <w:t xml:space="preserve">Peptone-Glucose-Meat extract (PGM) </w:t>
      </w:r>
      <w:r w:rsidRPr="00DA57F9">
        <w:t xml:space="preserve">and it was sterilized for 10 min at 121 ºC. 10 ml </w:t>
      </w:r>
      <w:r w:rsidRPr="00B31971">
        <w:t>agar</w:t>
      </w:r>
      <w:r w:rsidRPr="00DA57F9">
        <w:t xml:space="preserve"> was effused into each Petri-dish and was incubated at 30 ºC for 48 hours. Finally, the number of developed colonies (Colony Forming Units –CFU) was counted and the cell-concentration in the soil was calculated.</w:t>
      </w:r>
    </w:p>
    <w:p w:rsidR="00DA57F9" w:rsidRPr="00DA57F9" w:rsidRDefault="00DA57F9" w:rsidP="00DA57F9">
      <w:r w:rsidRPr="00DA57F9">
        <w:t xml:space="preserve">The </w:t>
      </w:r>
      <w:r w:rsidRPr="00201660">
        <w:rPr>
          <w:i/>
        </w:rPr>
        <w:t>Aliivibrio fischeri</w:t>
      </w:r>
      <w:r w:rsidRPr="00DA57F9">
        <w:t xml:space="preserve"> bioluminescence inhibition test was carried out based on the protocol described by Leitgib et al. [35]. 2 g of dry powdered soil (ground and sieved through a 2 mm sieve) was suspended in 2 ml 2 % NaCl solution, and then a five-step dilution series was prepared. The reference luminescence intensity was measured with a luminometer (Lumac Biocounter M 1500 1) at the beginning of the test (t=0 min), then 50 µl of the soil dilution series was added to the 200 µl inoculums. The luminescence was measured after 30 minutes of contact time. The inhibition percentage (H %) of luminescence intensity were calculated compared to reference soil. The inhibition percentage (H %) values were plotted against the soil doses and then the effective dose values (ED20 and ED50 – Effective Dose 20 and Effective Dose 50, dose causing 20 % and 50 % inhibition) were determined from the dose-response curve (inhibition percent values of different dilutions) after sigmoidal fitting of data by ORIGIN 8.5 software. For better interpretation of the results we worked out the “Copper Equivalent Method” for the soil sample containing toxic metals. The 20 % inhibition of soil is given in Cu equivalent (∑Cu20 (mg Cu kg−1 soil)), which means the Cu concentration that would cause the same toxicity as the actual pollution in the soil. The concentration of Cu equivalent is determined from the Cu-calibration curve considering the same % of inhibition or other effect of the soil [35].</w:t>
      </w:r>
    </w:p>
    <w:p w:rsidR="00D37F72" w:rsidRDefault="00DA57F9" w:rsidP="00DA57F9">
      <w:r w:rsidRPr="00DA57F9">
        <w:t xml:space="preserve">The </w:t>
      </w:r>
      <w:r w:rsidRPr="00201660">
        <w:rPr>
          <w:i/>
        </w:rPr>
        <w:t>Sinapis alba</w:t>
      </w:r>
      <w:r w:rsidRPr="00DA57F9">
        <w:t xml:space="preserve"> (white mustard) root and shoot growth inhibition test was carried out according to the Hungarian Standard 21976-17:1993 modified to direct contact with soil as described by Leitgib et al. [35]. </w:t>
      </w:r>
      <w:r w:rsidRPr="00201660">
        <w:rPr>
          <w:i/>
        </w:rPr>
        <w:t>Sinapis alba</w:t>
      </w:r>
      <w:r w:rsidRPr="00DA57F9">
        <w:t xml:space="preserve"> seeds (20 pieces) were placed onto 5 g dry powdered soil (ground and sieved through a 2 mm sieve) in a Petri-dish, wetted with 3.5 ml water and incubated at 20 °C for 3 days in darkness. </w:t>
      </w:r>
    </w:p>
    <w:p w:rsidR="00DA57F9" w:rsidRPr="00DA57F9" w:rsidRDefault="00DA57F9" w:rsidP="00DA57F9">
      <w:r w:rsidRPr="00DA57F9">
        <w:t>For the determination of the inhibition effect of soil samples the lengths of roots and shoots was measured.</w:t>
      </w:r>
    </w:p>
    <w:p w:rsidR="00DA57F9" w:rsidRPr="00133E3A" w:rsidRDefault="00DA57F9" w:rsidP="00DA57F9">
      <w:pPr>
        <w:rPr>
          <w:szCs w:val="24"/>
          <w:highlight w:val="cyan"/>
        </w:rPr>
      </w:pPr>
      <w:r w:rsidRPr="00DA57F9">
        <w:t xml:space="preserve">The </w:t>
      </w:r>
      <w:r w:rsidRPr="00201660">
        <w:rPr>
          <w:i/>
        </w:rPr>
        <w:t>Folsomia candida</w:t>
      </w:r>
      <w:r w:rsidRPr="00DA57F9">
        <w:t xml:space="preserve"> inhibition test is an international standardized test method (ISO/TC 190SC4, WG2, [36]). The test was carried out in a 200 cm3 volume closed glass container. We used 10±12 days old juveniles. To carry out the test 20 animals were placed onto 10 g of dry powdered (ground and sieved through a 2 mm sieve) soil and incubated at room temperature for 7 days in darkness. The food and water supplying were 5 ml water and dried yeast powder added at the beginning of the test. </w:t>
      </w:r>
      <w:r w:rsidRPr="00C53324">
        <w:t>At the end of the period of exposure to the control and treated soils, water was added and, following thorough stirring, the animals floated to the top of the suspension where they were counted</w:t>
      </w:r>
      <w:r w:rsidRPr="00DA57F9">
        <w:t xml:space="preserve">. </w:t>
      </w:r>
    </w:p>
    <w:p w:rsidR="00DA57F9" w:rsidRPr="00DA57F9" w:rsidRDefault="00DA57F9" w:rsidP="00DA57F9">
      <w:pPr>
        <w:pStyle w:val="Cmsor1"/>
        <w:numPr>
          <w:ilvl w:val="1"/>
          <w:numId w:val="15"/>
        </w:numPr>
        <w:spacing w:line="240" w:lineRule="auto"/>
        <w:rPr>
          <w:sz w:val="20"/>
          <w:szCs w:val="20"/>
        </w:rPr>
      </w:pPr>
      <w:r w:rsidRPr="00C53324">
        <w:rPr>
          <w:sz w:val="20"/>
          <w:szCs w:val="20"/>
        </w:rPr>
        <w:t>Statistical analysis</w:t>
      </w:r>
    </w:p>
    <w:p w:rsidR="00DA57F9" w:rsidRDefault="00DA57F9" w:rsidP="00DA57F9">
      <w:r w:rsidRPr="00DA57F9">
        <w:t>To determine if the added amounts of red mud had a significant effect on the measured chemical parameters, we performed an analysis of variance (ANOVA) using StatSoft® Statistica 11. We established the level of significance to p&lt;0.05. Fisher’s least significant difference test was used for the comparison of the effects of various red mud amounts mixed into the soil.</w:t>
      </w:r>
    </w:p>
    <w:p w:rsidR="00044D98" w:rsidRDefault="00044D98" w:rsidP="00DA57F9"/>
    <w:p w:rsidR="00DA57F9" w:rsidRDefault="00DA57F9" w:rsidP="00DA57F9">
      <w:pPr>
        <w:pStyle w:val="Cmsor1"/>
        <w:numPr>
          <w:ilvl w:val="0"/>
          <w:numId w:val="15"/>
        </w:numPr>
      </w:pPr>
      <w:r>
        <w:t>Results and discussion</w:t>
      </w:r>
    </w:p>
    <w:p w:rsidR="00DA57F9" w:rsidRPr="00DA57F9" w:rsidRDefault="00DA57F9" w:rsidP="00DA57F9">
      <w:pPr>
        <w:pStyle w:val="Cmsor1"/>
        <w:numPr>
          <w:ilvl w:val="1"/>
          <w:numId w:val="15"/>
        </w:numPr>
        <w:spacing w:line="240" w:lineRule="auto"/>
        <w:rPr>
          <w:sz w:val="20"/>
          <w:szCs w:val="20"/>
        </w:rPr>
      </w:pPr>
      <w:r>
        <w:rPr>
          <w:sz w:val="20"/>
          <w:szCs w:val="20"/>
        </w:rPr>
        <w:t>Metal content of the red mud and of the soil</w:t>
      </w:r>
    </w:p>
    <w:p w:rsidR="00044D98" w:rsidRDefault="00DA57F9" w:rsidP="00BE006F">
      <w:r w:rsidRPr="00DA57F9">
        <w:t>The metal content of the reference (R) and of the untreated soil (S) samples was compared with the metal content of the red mud treated soil. The Mo and Na contents in the aqua regia digest of the untreated soil (S) were significantly higher than in the reference soil (R) (Table 1). This may be due to leaching of these metals into the soil from the red mud deposit on the soil surface (S), as observed also by Rékási et al. [30], in a column experiment modelling the leaching into the soil of metals from a 10 cm red mud layer.</w:t>
      </w:r>
    </w:p>
    <w:p w:rsidR="00D37F72" w:rsidRDefault="00DA57F9" w:rsidP="00BE006F">
      <w:r w:rsidRPr="00DA57F9">
        <w:t xml:space="preserve"> </w:t>
      </w:r>
      <w:r w:rsidR="00044D98">
        <w:br w:type="column"/>
        <w:t xml:space="preserve"> </w:t>
      </w:r>
      <w:r w:rsidRPr="00DA57F9">
        <w:t>The water soluble metal contents of the reference (R) and untreated (S) soils in our experiment indicated a similar process with significantly elevated Al, Ba, Cr, Cu, Na, Ni, Pb and Se concentrations in the untreated soil compared to the reference soil. Rékási et al. [30] observed an increase only in the water soluble Cu, Cr and Na concentrations and in the plant-available (NH4-acetate + EDTA soluble) Cu, Pb, Na and Mo concentrations. The total amount of Zn in the reference soil (R) was higher than in the untreated soil (S), but this might be due to local differences in parent material.</w:t>
      </w:r>
    </w:p>
    <w:p w:rsidR="00757E72" w:rsidRDefault="00DA57F9" w:rsidP="00BE006F">
      <w:r w:rsidRPr="00DA57F9">
        <w:t>Although others have found soluble vanadium in red mud leachates [37], we omitted the vanadium analyses because here is no Hungarian standard for vanadium.</w:t>
      </w:r>
    </w:p>
    <w:p w:rsidR="00512AAC" w:rsidRDefault="00757E72" w:rsidP="00BE006F">
      <w:r w:rsidRPr="00DA57F9">
        <w:t xml:space="preserve">The total metal content of the untreated and of the reference soil was below the Hungarian quality criteria for soil (Hungarian 6/2009 (IV. 14.) KvVM-EüM-FVM decree) shown in the first column of Table 1. The aqua regia-soluble metal content of the red mud was also below the Hungarian limit for sewage sludge (from wastewater for agricultural applications (Hungarian 50/2001 (IV. 3.) Government decree) except for two metals (Co and Ni). </w:t>
      </w:r>
    </w:p>
    <w:p w:rsidR="00044D98" w:rsidRDefault="00757E72" w:rsidP="00BE006F">
      <w:r w:rsidRPr="00DA57F9">
        <w:t>The Co concentration was only 7.6% higher than the limit value, but the Ni concentration exceeded the limit value</w:t>
      </w:r>
      <w:r w:rsidRPr="00DA57F9" w:rsidDel="00D45569">
        <w:t xml:space="preserve"> </w:t>
      </w:r>
      <w:r w:rsidRPr="00DA57F9">
        <w:t>by 39.5 %.</w:t>
      </w:r>
    </w:p>
    <w:p w:rsidR="00044D98" w:rsidRDefault="00044D98" w:rsidP="00BE006F"/>
    <w:p w:rsidR="00044D98" w:rsidRDefault="00044D98" w:rsidP="00BE006F">
      <w:pPr>
        <w:sectPr w:rsidR="00044D98" w:rsidSect="00B309F6">
          <w:footerReference w:type="even" r:id="rId11"/>
          <w:type w:val="continuous"/>
          <w:pgSz w:w="11909" w:h="16834"/>
          <w:pgMar w:top="1134" w:right="1134" w:bottom="1134" w:left="1134" w:header="708" w:footer="708" w:gutter="0"/>
          <w:cols w:num="2" w:space="285"/>
          <w:noEndnote/>
          <w:docGrid w:linePitch="272"/>
        </w:sectPr>
      </w:pPr>
    </w:p>
    <w:p w:rsidR="00044D98" w:rsidRPr="00757E72" w:rsidRDefault="00044D98" w:rsidP="00044D98">
      <w:pPr>
        <w:pStyle w:val="TabCaption"/>
        <w:numPr>
          <w:ilvl w:val="0"/>
          <w:numId w:val="0"/>
        </w:numPr>
        <w:ind w:left="709"/>
        <w:jc w:val="both"/>
      </w:pPr>
      <w:r>
        <w:t>Table 1</w:t>
      </w:r>
      <w:r w:rsidRPr="00757E72">
        <w:t xml:space="preserve"> Total (aqua regia digests) and water soluble metal content of the red mud and the soils </w:t>
      </w:r>
    </w:p>
    <w:tbl>
      <w:tblPr>
        <w:tblW w:w="9180" w:type="dxa"/>
        <w:tblBorders>
          <w:top w:val="single" w:sz="8" w:space="0" w:color="000000"/>
          <w:bottom w:val="single" w:sz="8" w:space="0" w:color="000000"/>
        </w:tblBorders>
        <w:tblLayout w:type="fixed"/>
        <w:tblLook w:val="0680"/>
      </w:tblPr>
      <w:tblGrid>
        <w:gridCol w:w="959"/>
        <w:gridCol w:w="992"/>
        <w:gridCol w:w="992"/>
        <w:gridCol w:w="152"/>
        <w:gridCol w:w="982"/>
        <w:gridCol w:w="993"/>
        <w:gridCol w:w="1134"/>
        <w:gridCol w:w="992"/>
        <w:gridCol w:w="992"/>
        <w:gridCol w:w="859"/>
        <w:gridCol w:w="133"/>
      </w:tblGrid>
      <w:tr w:rsidR="00044D98" w:rsidRPr="00CD0581" w:rsidTr="00044D98">
        <w:trPr>
          <w:gridAfter w:val="1"/>
          <w:wAfter w:w="133" w:type="dxa"/>
          <w:trHeight w:val="20"/>
        </w:trPr>
        <w:tc>
          <w:tcPr>
            <w:tcW w:w="959" w:type="dxa"/>
            <w:vAlign w:val="center"/>
          </w:tcPr>
          <w:p w:rsidR="00044D98" w:rsidRPr="000B4572" w:rsidRDefault="00044D98" w:rsidP="00044D98">
            <w:pPr>
              <w:spacing w:line="240" w:lineRule="auto"/>
              <w:jc w:val="center"/>
              <w:rPr>
                <w:b/>
                <w:bCs/>
                <w:color w:val="000000"/>
              </w:rPr>
            </w:pPr>
          </w:p>
        </w:tc>
        <w:tc>
          <w:tcPr>
            <w:tcW w:w="992" w:type="dxa"/>
            <w:vMerge w:val="restart"/>
            <w:vAlign w:val="center"/>
            <w:hideMark/>
          </w:tcPr>
          <w:p w:rsidR="00044D98" w:rsidRPr="000B4572" w:rsidRDefault="00044D98" w:rsidP="00044D98">
            <w:pPr>
              <w:spacing w:line="240" w:lineRule="auto"/>
              <w:ind w:firstLine="0"/>
              <w:jc w:val="center"/>
              <w:rPr>
                <w:b/>
                <w:color w:val="000000"/>
              </w:rPr>
            </w:pPr>
            <w:r w:rsidRPr="000B4572">
              <w:rPr>
                <w:b/>
                <w:color w:val="000000"/>
              </w:rPr>
              <w:t>HQC for soil</w:t>
            </w:r>
            <w:r>
              <w:rPr>
                <w:b/>
                <w:color w:val="000000"/>
                <w:vertAlign w:val="superscript"/>
              </w:rPr>
              <w:t>*</w:t>
            </w:r>
          </w:p>
        </w:tc>
        <w:tc>
          <w:tcPr>
            <w:tcW w:w="1144" w:type="dxa"/>
            <w:gridSpan w:val="2"/>
            <w:vMerge w:val="restart"/>
            <w:noWrap/>
            <w:vAlign w:val="center"/>
            <w:hideMark/>
          </w:tcPr>
          <w:p w:rsidR="00044D98" w:rsidRPr="000B4572" w:rsidRDefault="00044D98" w:rsidP="00044D98">
            <w:pPr>
              <w:spacing w:line="240" w:lineRule="auto"/>
              <w:ind w:firstLine="0"/>
              <w:jc w:val="center"/>
              <w:rPr>
                <w:b/>
                <w:color w:val="000000"/>
              </w:rPr>
            </w:pPr>
            <w:r w:rsidRPr="000B4572">
              <w:rPr>
                <w:b/>
                <w:color w:val="000000"/>
              </w:rPr>
              <w:t>HQC for sewage sludge</w:t>
            </w:r>
            <w:r>
              <w:rPr>
                <w:b/>
                <w:color w:val="000000"/>
                <w:vertAlign w:val="superscript"/>
              </w:rPr>
              <w:t>**</w:t>
            </w:r>
          </w:p>
        </w:tc>
        <w:tc>
          <w:tcPr>
            <w:tcW w:w="1975" w:type="dxa"/>
            <w:gridSpan w:val="2"/>
            <w:vAlign w:val="center"/>
            <w:hideMark/>
          </w:tcPr>
          <w:p w:rsidR="00044D98" w:rsidRPr="000B4572" w:rsidRDefault="00044D98" w:rsidP="00044D98">
            <w:pPr>
              <w:spacing w:line="240" w:lineRule="auto"/>
              <w:ind w:firstLine="0"/>
              <w:jc w:val="center"/>
              <w:rPr>
                <w:bCs/>
                <w:color w:val="000000"/>
              </w:rPr>
            </w:pPr>
            <w:r w:rsidRPr="000B4572">
              <w:rPr>
                <w:b/>
                <w:color w:val="000000"/>
              </w:rPr>
              <w:t>Red mud</w:t>
            </w:r>
          </w:p>
        </w:tc>
        <w:tc>
          <w:tcPr>
            <w:tcW w:w="2126" w:type="dxa"/>
            <w:gridSpan w:val="2"/>
            <w:vAlign w:val="center"/>
          </w:tcPr>
          <w:p w:rsidR="00044D98" w:rsidRPr="000B4572" w:rsidRDefault="00044D98" w:rsidP="00044D98">
            <w:pPr>
              <w:spacing w:line="240" w:lineRule="auto"/>
              <w:ind w:firstLine="0"/>
              <w:jc w:val="center"/>
              <w:rPr>
                <w:b/>
                <w:color w:val="000000"/>
              </w:rPr>
            </w:pPr>
            <w:r w:rsidRPr="000B4572">
              <w:rPr>
                <w:b/>
                <w:color w:val="000000"/>
              </w:rPr>
              <w:t>Untreated soil</w:t>
            </w:r>
          </w:p>
        </w:tc>
        <w:tc>
          <w:tcPr>
            <w:tcW w:w="1851" w:type="dxa"/>
            <w:gridSpan w:val="2"/>
            <w:vAlign w:val="center"/>
          </w:tcPr>
          <w:p w:rsidR="00044D98" w:rsidRPr="000B4572" w:rsidRDefault="00044D98" w:rsidP="00044D98">
            <w:pPr>
              <w:spacing w:line="240" w:lineRule="auto"/>
              <w:ind w:firstLine="0"/>
              <w:jc w:val="center"/>
              <w:rPr>
                <w:b/>
                <w:color w:val="000000"/>
              </w:rPr>
            </w:pPr>
            <w:r w:rsidRPr="000B4572">
              <w:rPr>
                <w:b/>
                <w:color w:val="000000"/>
              </w:rPr>
              <w:t>Reference soil</w:t>
            </w:r>
          </w:p>
        </w:tc>
      </w:tr>
      <w:tr w:rsidR="00044D98" w:rsidRPr="00CD0581" w:rsidTr="00044D98">
        <w:trPr>
          <w:trHeight w:val="20"/>
        </w:trPr>
        <w:tc>
          <w:tcPr>
            <w:tcW w:w="959" w:type="dxa"/>
            <w:vAlign w:val="center"/>
          </w:tcPr>
          <w:p w:rsidR="00044D98" w:rsidRPr="000B4572" w:rsidRDefault="00044D98" w:rsidP="00044D98">
            <w:pPr>
              <w:spacing w:line="240" w:lineRule="auto"/>
              <w:ind w:firstLine="0"/>
              <w:jc w:val="center"/>
              <w:rPr>
                <w:b/>
                <w:bCs/>
                <w:color w:val="000000"/>
              </w:rPr>
            </w:pPr>
            <w:r w:rsidRPr="000B4572">
              <w:rPr>
                <w:b/>
                <w:bCs/>
                <w:color w:val="000000"/>
              </w:rPr>
              <w:t>Element</w:t>
            </w:r>
          </w:p>
        </w:tc>
        <w:tc>
          <w:tcPr>
            <w:tcW w:w="992" w:type="dxa"/>
            <w:vMerge/>
            <w:vAlign w:val="center"/>
            <w:hideMark/>
          </w:tcPr>
          <w:p w:rsidR="00044D98" w:rsidRPr="000B4572" w:rsidRDefault="00044D98" w:rsidP="00044D98">
            <w:pPr>
              <w:spacing w:line="240" w:lineRule="auto"/>
              <w:jc w:val="center"/>
              <w:rPr>
                <w:color w:val="000000"/>
              </w:rPr>
            </w:pPr>
          </w:p>
        </w:tc>
        <w:tc>
          <w:tcPr>
            <w:tcW w:w="1144" w:type="dxa"/>
            <w:gridSpan w:val="2"/>
            <w:vMerge/>
            <w:vAlign w:val="center"/>
            <w:hideMark/>
          </w:tcPr>
          <w:p w:rsidR="00044D98" w:rsidRPr="000B4572" w:rsidRDefault="00044D98" w:rsidP="00044D98">
            <w:pPr>
              <w:spacing w:line="240" w:lineRule="auto"/>
              <w:jc w:val="center"/>
              <w:rPr>
                <w:color w:val="000000"/>
              </w:rPr>
            </w:pPr>
          </w:p>
        </w:tc>
        <w:tc>
          <w:tcPr>
            <w:tcW w:w="982" w:type="dxa"/>
            <w:vAlign w:val="center"/>
            <w:hideMark/>
          </w:tcPr>
          <w:p w:rsidR="00044D98" w:rsidRPr="000B4572" w:rsidRDefault="00044D98" w:rsidP="00044D98">
            <w:pPr>
              <w:spacing w:line="240" w:lineRule="auto"/>
              <w:ind w:firstLine="0"/>
              <w:jc w:val="center"/>
              <w:rPr>
                <w:color w:val="000000"/>
              </w:rPr>
            </w:pPr>
            <w:r w:rsidRPr="000B4572">
              <w:rPr>
                <w:color w:val="000000"/>
              </w:rPr>
              <w:t>Total (Aqua regia extract)</w:t>
            </w:r>
          </w:p>
        </w:tc>
        <w:tc>
          <w:tcPr>
            <w:tcW w:w="993" w:type="dxa"/>
            <w:vAlign w:val="center"/>
            <w:hideMark/>
          </w:tcPr>
          <w:p w:rsidR="00044D98" w:rsidRPr="000B4572" w:rsidRDefault="00044D98" w:rsidP="00044D98">
            <w:pPr>
              <w:spacing w:line="240" w:lineRule="auto"/>
              <w:ind w:firstLine="0"/>
              <w:jc w:val="center"/>
              <w:rPr>
                <w:color w:val="000000"/>
              </w:rPr>
            </w:pPr>
            <w:r w:rsidRPr="000B4572">
              <w:rPr>
                <w:color w:val="000000"/>
              </w:rPr>
              <w:t>Water soluble</w:t>
            </w:r>
          </w:p>
        </w:tc>
        <w:tc>
          <w:tcPr>
            <w:tcW w:w="1134" w:type="dxa"/>
            <w:vAlign w:val="center"/>
            <w:hideMark/>
          </w:tcPr>
          <w:p w:rsidR="00044D98" w:rsidRPr="000B4572" w:rsidRDefault="00044D98" w:rsidP="00044D98">
            <w:pPr>
              <w:spacing w:line="240" w:lineRule="auto"/>
              <w:ind w:firstLine="0"/>
              <w:jc w:val="center"/>
              <w:rPr>
                <w:color w:val="000000"/>
              </w:rPr>
            </w:pPr>
            <w:r w:rsidRPr="000B4572">
              <w:rPr>
                <w:color w:val="000000"/>
              </w:rPr>
              <w:t>Total (Aqua regia extract)</w:t>
            </w:r>
          </w:p>
        </w:tc>
        <w:tc>
          <w:tcPr>
            <w:tcW w:w="992" w:type="dxa"/>
            <w:vAlign w:val="center"/>
            <w:hideMark/>
          </w:tcPr>
          <w:p w:rsidR="00044D98" w:rsidRPr="000B4572" w:rsidRDefault="00044D98" w:rsidP="00044D98">
            <w:pPr>
              <w:spacing w:line="240" w:lineRule="auto"/>
              <w:ind w:firstLine="0"/>
              <w:jc w:val="center"/>
              <w:rPr>
                <w:color w:val="000000"/>
              </w:rPr>
            </w:pPr>
            <w:r w:rsidRPr="000B4572">
              <w:rPr>
                <w:color w:val="000000"/>
              </w:rPr>
              <w:t>Water soluble</w:t>
            </w:r>
          </w:p>
        </w:tc>
        <w:tc>
          <w:tcPr>
            <w:tcW w:w="992" w:type="dxa"/>
            <w:vAlign w:val="center"/>
          </w:tcPr>
          <w:p w:rsidR="00044D98" w:rsidRPr="000B4572" w:rsidRDefault="00044D98" w:rsidP="00044D98">
            <w:pPr>
              <w:spacing w:line="240" w:lineRule="auto"/>
              <w:ind w:firstLine="0"/>
              <w:jc w:val="center"/>
              <w:rPr>
                <w:color w:val="000000"/>
              </w:rPr>
            </w:pPr>
            <w:r>
              <w:rPr>
                <w:color w:val="000000"/>
              </w:rPr>
              <w:t xml:space="preserve">Total </w:t>
            </w:r>
            <w:r w:rsidRPr="000B4572">
              <w:rPr>
                <w:color w:val="000000"/>
              </w:rPr>
              <w:t>(Aqua regia extract)</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Water soluble</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p>
        </w:tc>
        <w:tc>
          <w:tcPr>
            <w:tcW w:w="992" w:type="dxa"/>
            <w:noWrap/>
            <w:vAlign w:val="center"/>
            <w:hideMark/>
          </w:tcPr>
          <w:p w:rsidR="00044D98" w:rsidRPr="000B4572" w:rsidRDefault="00044D98" w:rsidP="00044D98">
            <w:pPr>
              <w:spacing w:line="240" w:lineRule="auto"/>
              <w:ind w:firstLine="0"/>
              <w:jc w:val="center"/>
              <w:rPr>
                <w:color w:val="000000"/>
              </w:rPr>
            </w:pPr>
            <w:r>
              <w:rPr>
                <w:color w:val="000000"/>
              </w:rPr>
              <w:t>(mg/kg</w:t>
            </w:r>
            <w:r w:rsidRPr="000B4572">
              <w:rPr>
                <w:color w:val="000000"/>
              </w:rPr>
              <w:t>)</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(mg/kg)</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(mg/kg)</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(mg/kg)</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(mg/kg)</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(mg/kg)</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(mg/kg)</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(mg/kg)</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Al</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60183</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1134" w:type="dxa"/>
            <w:noWrap/>
            <w:vAlign w:val="center"/>
            <w:hideMark/>
          </w:tcPr>
          <w:p w:rsidR="00044D98" w:rsidRPr="000B4572" w:rsidRDefault="00044D98" w:rsidP="00044D98">
            <w:pPr>
              <w:spacing w:line="240" w:lineRule="auto"/>
              <w:ind w:firstLine="0"/>
              <w:jc w:val="center"/>
              <w:rPr>
                <w:color w:val="000000"/>
              </w:rPr>
            </w:pPr>
            <w:r>
              <w:rPr>
                <w:color w:val="000000"/>
              </w:rPr>
              <w:t>9629</w:t>
            </w:r>
            <w:r w:rsidRPr="000B4572">
              <w:rPr>
                <w:color w:val="000000"/>
              </w:rPr>
              <w:t>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69.5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11770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29.5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As</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15</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75</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28.7</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2.98</w:t>
            </w:r>
          </w:p>
        </w:tc>
        <w:tc>
          <w:tcPr>
            <w:tcW w:w="1134" w:type="dxa"/>
            <w:noWrap/>
            <w:vAlign w:val="center"/>
            <w:hideMark/>
          </w:tcPr>
          <w:p w:rsidR="00044D98" w:rsidRPr="000B4572" w:rsidRDefault="00044D98" w:rsidP="00044D98">
            <w:pPr>
              <w:spacing w:line="240" w:lineRule="auto"/>
              <w:ind w:firstLine="0"/>
              <w:jc w:val="center"/>
              <w:rPr>
                <w:color w:val="000000"/>
              </w:rPr>
            </w:pPr>
            <w:r>
              <w:rPr>
                <w:color w:val="000000"/>
              </w:rPr>
              <w:t>4.23</w:t>
            </w:r>
            <w:r w:rsidRPr="000B4572">
              <w:rPr>
                <w:color w:val="000000"/>
              </w:rPr>
              <w:t>a</w:t>
            </w:r>
          </w:p>
        </w:tc>
        <w:tc>
          <w:tcPr>
            <w:tcW w:w="992" w:type="dxa"/>
            <w:noWrap/>
            <w:vAlign w:val="center"/>
            <w:hideMark/>
          </w:tcPr>
          <w:p w:rsidR="00044D98" w:rsidRPr="000B4572" w:rsidRDefault="00044D98" w:rsidP="00044D98">
            <w:pPr>
              <w:spacing w:line="240" w:lineRule="auto"/>
              <w:ind w:firstLine="0"/>
              <w:jc w:val="center"/>
              <w:rPr>
                <w:color w:val="000000"/>
              </w:rPr>
            </w:pPr>
            <w:r>
              <w:rPr>
                <w:color w:val="000000"/>
              </w:rPr>
              <w:t>0.31</w:t>
            </w:r>
            <w:r w:rsidRPr="000B4572">
              <w:rPr>
                <w:color w:val="000000"/>
              </w:rPr>
              <w:t>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4.20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0.340 a</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Ba</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250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68.1</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62.4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0.398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61.5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0.158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Cd</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1.26</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0.125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0.007</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0.165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&lt;DL</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Co</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30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50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53.8</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0.087</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4.29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0.029</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4.38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&lt;DL</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Cr</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75</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1000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590</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0.800</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15.9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0.129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20.6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0.058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Cu</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75</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1000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24.0</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1.23</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10.7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0.688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6.83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0.163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Hg</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0.5</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0.043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&lt;DL</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0.052 a</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Mo</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7</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20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0.345</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10.1</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1.45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0.285</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0.171 b</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&lt;DL</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Na</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44845</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642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328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142 b</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40.0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Ni</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40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200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279</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0.448</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8.33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0.133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8.55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0.059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Pb</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750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128</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0.180</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10.3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0.204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10.1 a</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0.099 b</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Se</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100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0.311</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0.369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&lt;DL</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0.196 a</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Sn</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30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22.4</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&lt;DL</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Zn</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200</w:t>
            </w:r>
          </w:p>
        </w:tc>
        <w:tc>
          <w:tcPr>
            <w:tcW w:w="992" w:type="dxa"/>
            <w:noWrap/>
            <w:vAlign w:val="center"/>
            <w:hideMark/>
          </w:tcPr>
          <w:p w:rsidR="00044D98" w:rsidRPr="00E8143A" w:rsidRDefault="00044D98" w:rsidP="00044D98">
            <w:pPr>
              <w:spacing w:line="240" w:lineRule="auto"/>
              <w:ind w:firstLine="0"/>
              <w:jc w:val="center"/>
              <w:rPr>
                <w:i/>
                <w:color w:val="000000"/>
              </w:rPr>
            </w:pPr>
            <w:r w:rsidRPr="00E8143A">
              <w:rPr>
                <w:i/>
                <w:color w:val="000000"/>
              </w:rPr>
              <w:t>2500</w:t>
            </w:r>
          </w:p>
        </w:tc>
        <w:tc>
          <w:tcPr>
            <w:tcW w:w="1134" w:type="dxa"/>
            <w:gridSpan w:val="2"/>
            <w:noWrap/>
            <w:vAlign w:val="center"/>
            <w:hideMark/>
          </w:tcPr>
          <w:p w:rsidR="00044D98" w:rsidRPr="000B4572" w:rsidRDefault="00044D98" w:rsidP="00044D98">
            <w:pPr>
              <w:spacing w:line="240" w:lineRule="auto"/>
              <w:ind w:firstLine="0"/>
              <w:jc w:val="center"/>
              <w:rPr>
                <w:color w:val="000000"/>
              </w:rPr>
            </w:pPr>
            <w:r w:rsidRPr="000B4572">
              <w:rPr>
                <w:color w:val="000000"/>
              </w:rPr>
              <w:t>101</w:t>
            </w: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&lt;DL</w:t>
            </w:r>
          </w:p>
        </w:tc>
        <w:tc>
          <w:tcPr>
            <w:tcW w:w="1134" w:type="dxa"/>
            <w:noWrap/>
            <w:vAlign w:val="center"/>
            <w:hideMark/>
          </w:tcPr>
          <w:p w:rsidR="00044D98" w:rsidRPr="000B4572" w:rsidRDefault="00044D98" w:rsidP="00044D98">
            <w:pPr>
              <w:spacing w:line="240" w:lineRule="auto"/>
              <w:ind w:firstLine="0"/>
              <w:jc w:val="center"/>
              <w:rPr>
                <w:color w:val="000000"/>
              </w:rPr>
            </w:pPr>
            <w:r w:rsidRPr="000B4572">
              <w:rPr>
                <w:color w:val="000000"/>
              </w:rPr>
              <w:t>26.0 a</w:t>
            </w: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0.632 a</w:t>
            </w:r>
          </w:p>
        </w:tc>
        <w:tc>
          <w:tcPr>
            <w:tcW w:w="992" w:type="dxa"/>
            <w:vAlign w:val="center"/>
          </w:tcPr>
          <w:p w:rsidR="00044D98" w:rsidRPr="000B4572" w:rsidRDefault="00044D98" w:rsidP="00044D98">
            <w:pPr>
              <w:spacing w:line="240" w:lineRule="auto"/>
              <w:ind w:firstLine="0"/>
              <w:jc w:val="center"/>
              <w:rPr>
                <w:color w:val="000000"/>
              </w:rPr>
            </w:pPr>
            <w:r w:rsidRPr="000B4572">
              <w:rPr>
                <w:color w:val="000000"/>
              </w:rPr>
              <w:t>30.4 b</w:t>
            </w: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0.320 a</w:t>
            </w:r>
          </w:p>
        </w:tc>
      </w:tr>
      <w:tr w:rsidR="00044D98" w:rsidRPr="00CD0581" w:rsidTr="00044D98">
        <w:trPr>
          <w:trHeight w:val="20"/>
        </w:trPr>
        <w:tc>
          <w:tcPr>
            <w:tcW w:w="959" w:type="dxa"/>
            <w:vAlign w:val="center"/>
          </w:tcPr>
          <w:p w:rsidR="00044D98" w:rsidRPr="000B4572" w:rsidRDefault="00044D98" w:rsidP="00044D98">
            <w:pPr>
              <w:spacing w:line="240" w:lineRule="auto"/>
              <w:jc w:val="center"/>
              <w:rPr>
                <w:b/>
                <w:bCs/>
                <w:color w:val="000000"/>
              </w:rPr>
            </w:pPr>
            <w:r w:rsidRPr="000B4572">
              <w:rPr>
                <w:b/>
                <w:bCs/>
                <w:color w:val="000000"/>
              </w:rPr>
              <w:t>pH</w:t>
            </w:r>
          </w:p>
        </w:tc>
        <w:tc>
          <w:tcPr>
            <w:tcW w:w="992" w:type="dxa"/>
            <w:noWrap/>
            <w:vAlign w:val="center"/>
            <w:hideMark/>
          </w:tcPr>
          <w:p w:rsidR="00044D98" w:rsidRPr="000B4572" w:rsidRDefault="00044D98" w:rsidP="00044D98">
            <w:pPr>
              <w:spacing w:line="240" w:lineRule="auto"/>
              <w:jc w:val="center"/>
              <w:rPr>
                <w:color w:val="000000"/>
              </w:rPr>
            </w:pPr>
          </w:p>
        </w:tc>
        <w:tc>
          <w:tcPr>
            <w:tcW w:w="992" w:type="dxa"/>
            <w:noWrap/>
            <w:vAlign w:val="center"/>
            <w:hideMark/>
          </w:tcPr>
          <w:p w:rsidR="00044D98" w:rsidRPr="000B4572" w:rsidRDefault="00044D98" w:rsidP="00044D98">
            <w:pPr>
              <w:spacing w:line="240" w:lineRule="auto"/>
              <w:jc w:val="center"/>
              <w:rPr>
                <w:color w:val="000000"/>
              </w:rPr>
            </w:pPr>
          </w:p>
        </w:tc>
        <w:tc>
          <w:tcPr>
            <w:tcW w:w="1134" w:type="dxa"/>
            <w:gridSpan w:val="2"/>
            <w:noWrap/>
            <w:vAlign w:val="center"/>
            <w:hideMark/>
          </w:tcPr>
          <w:p w:rsidR="00044D98" w:rsidRPr="000B4572" w:rsidRDefault="00044D98" w:rsidP="00044D98">
            <w:pPr>
              <w:spacing w:line="240" w:lineRule="auto"/>
              <w:jc w:val="center"/>
              <w:rPr>
                <w:color w:val="000000"/>
              </w:rPr>
            </w:pPr>
          </w:p>
        </w:tc>
        <w:tc>
          <w:tcPr>
            <w:tcW w:w="993" w:type="dxa"/>
            <w:noWrap/>
            <w:vAlign w:val="center"/>
            <w:hideMark/>
          </w:tcPr>
          <w:p w:rsidR="00044D98" w:rsidRPr="000B4572" w:rsidRDefault="00044D98" w:rsidP="00044D98">
            <w:pPr>
              <w:spacing w:line="240" w:lineRule="auto"/>
              <w:ind w:firstLine="0"/>
              <w:jc w:val="center"/>
              <w:rPr>
                <w:color w:val="000000"/>
              </w:rPr>
            </w:pPr>
            <w:r w:rsidRPr="000B4572">
              <w:rPr>
                <w:color w:val="000000"/>
              </w:rPr>
              <w:t>10.2</w:t>
            </w:r>
          </w:p>
        </w:tc>
        <w:tc>
          <w:tcPr>
            <w:tcW w:w="1134" w:type="dxa"/>
            <w:noWrap/>
            <w:vAlign w:val="center"/>
            <w:hideMark/>
          </w:tcPr>
          <w:p w:rsidR="00044D98" w:rsidRPr="000B4572" w:rsidRDefault="00044D98" w:rsidP="00044D98">
            <w:pPr>
              <w:spacing w:line="240" w:lineRule="auto"/>
              <w:jc w:val="center"/>
              <w:rPr>
                <w:color w:val="000000"/>
              </w:rPr>
            </w:pPr>
          </w:p>
        </w:tc>
        <w:tc>
          <w:tcPr>
            <w:tcW w:w="992" w:type="dxa"/>
            <w:noWrap/>
            <w:vAlign w:val="center"/>
            <w:hideMark/>
          </w:tcPr>
          <w:p w:rsidR="00044D98" w:rsidRPr="000B4572" w:rsidRDefault="00044D98" w:rsidP="00044D98">
            <w:pPr>
              <w:spacing w:line="240" w:lineRule="auto"/>
              <w:ind w:firstLine="0"/>
              <w:jc w:val="center"/>
              <w:rPr>
                <w:color w:val="000000"/>
              </w:rPr>
            </w:pPr>
            <w:r w:rsidRPr="000B4572">
              <w:rPr>
                <w:color w:val="000000"/>
              </w:rPr>
              <w:t>7.5</w:t>
            </w:r>
          </w:p>
        </w:tc>
        <w:tc>
          <w:tcPr>
            <w:tcW w:w="992" w:type="dxa"/>
            <w:vAlign w:val="center"/>
          </w:tcPr>
          <w:p w:rsidR="00044D98" w:rsidRPr="000B4572" w:rsidRDefault="00044D98" w:rsidP="00044D98">
            <w:pPr>
              <w:spacing w:line="240" w:lineRule="auto"/>
              <w:jc w:val="center"/>
              <w:rPr>
                <w:color w:val="000000"/>
              </w:rPr>
            </w:pPr>
          </w:p>
        </w:tc>
        <w:tc>
          <w:tcPr>
            <w:tcW w:w="992" w:type="dxa"/>
            <w:gridSpan w:val="2"/>
            <w:vAlign w:val="center"/>
          </w:tcPr>
          <w:p w:rsidR="00044D98" w:rsidRPr="000B4572" w:rsidRDefault="00044D98" w:rsidP="00044D98">
            <w:pPr>
              <w:spacing w:line="240" w:lineRule="auto"/>
              <w:ind w:firstLine="0"/>
              <w:jc w:val="center"/>
              <w:rPr>
                <w:color w:val="000000"/>
              </w:rPr>
            </w:pPr>
            <w:r w:rsidRPr="000B4572">
              <w:rPr>
                <w:color w:val="000000"/>
              </w:rPr>
              <w:t>6.0</w:t>
            </w:r>
          </w:p>
        </w:tc>
      </w:tr>
    </w:tbl>
    <w:p w:rsidR="00044D98" w:rsidRDefault="00044D98" w:rsidP="00044D98">
      <w:pPr>
        <w:spacing w:line="240" w:lineRule="auto"/>
      </w:pPr>
      <w:r w:rsidRPr="00E337C6">
        <w:t>&lt;DL below detection limit</w:t>
      </w:r>
      <w:r>
        <w:t>;</w:t>
      </w:r>
    </w:p>
    <w:p w:rsidR="00044D98" w:rsidRDefault="00044D98" w:rsidP="00044D98">
      <w:pPr>
        <w:spacing w:line="240" w:lineRule="auto"/>
      </w:pPr>
      <w:r w:rsidRPr="00E337C6">
        <w:t xml:space="preserve"> -:</w:t>
      </w:r>
      <w:r>
        <w:t xml:space="preserve"> </w:t>
      </w:r>
      <w:r w:rsidRPr="00E337C6">
        <w:t>not measured</w:t>
      </w:r>
    </w:p>
    <w:p w:rsidR="00044D98" w:rsidRPr="00E337C6" w:rsidRDefault="00044D98" w:rsidP="00044D98">
      <w:pPr>
        <w:spacing w:line="240" w:lineRule="auto"/>
      </w:pPr>
      <w:r>
        <w:rPr>
          <w:vertAlign w:val="superscript"/>
        </w:rPr>
        <w:t>*</w:t>
      </w:r>
      <w:r w:rsidRPr="00E337C6">
        <w:t xml:space="preserve"> Hungarian Quality Criteria for soil based on KvVM-EüM-FVM Joint Decree No. 6/2009</w:t>
      </w:r>
    </w:p>
    <w:p w:rsidR="00044D98" w:rsidRDefault="00044D98" w:rsidP="00D022E7">
      <w:pPr>
        <w:spacing w:line="240" w:lineRule="auto"/>
        <w:ind w:left="480" w:hanging="196"/>
      </w:pPr>
      <w:r>
        <w:rPr>
          <w:vertAlign w:val="superscript"/>
        </w:rPr>
        <w:t>**</w:t>
      </w:r>
      <w:r w:rsidRPr="00E337C6">
        <w:t xml:space="preserve"> Hungarian Quality Criteria for sew</w:t>
      </w:r>
      <w:r>
        <w:t>a</w:t>
      </w:r>
      <w:r w:rsidRPr="00E337C6">
        <w:t>ge slu</w:t>
      </w:r>
      <w:r>
        <w:t>d</w:t>
      </w:r>
      <w:r w:rsidRPr="00E337C6">
        <w:t>ge from waste water treatment for agricultural applications based on Gove</w:t>
      </w:r>
      <w:r>
        <w:t>rn</w:t>
      </w:r>
      <w:r w:rsidRPr="00E337C6">
        <w:t>ment Decree No. 50/2001</w:t>
      </w:r>
    </w:p>
    <w:p w:rsidR="00044D98" w:rsidRDefault="00044D98" w:rsidP="00044D98">
      <w:pPr>
        <w:ind w:firstLine="0"/>
      </w:pPr>
      <w:r>
        <w:t>Numbers marked with the same letter are significantly not different (p&lt;0.</w:t>
      </w:r>
      <w:r w:rsidRPr="0014664E">
        <w:t>05). LSD, Least significant difference</w:t>
      </w:r>
      <w:r>
        <w:t>. The total metal and the water soluble metal contents of the untreated and the reference soils were compared separately.</w:t>
      </w:r>
    </w:p>
    <w:p w:rsidR="00044D98" w:rsidRDefault="00044D98" w:rsidP="00D022E7">
      <w:pPr>
        <w:pStyle w:val="Cmsor1"/>
        <w:spacing w:line="240" w:lineRule="auto"/>
        <w:ind w:left="792"/>
        <w:rPr>
          <w:sz w:val="20"/>
          <w:szCs w:val="20"/>
        </w:rPr>
        <w:sectPr w:rsidR="00044D98" w:rsidSect="00044D98">
          <w:type w:val="continuous"/>
          <w:pgSz w:w="11909" w:h="16834"/>
          <w:pgMar w:top="1134" w:right="1134" w:bottom="1134" w:left="1134" w:header="708" w:footer="708" w:gutter="0"/>
          <w:cols w:space="285"/>
          <w:noEndnote/>
          <w:docGrid w:linePitch="272"/>
        </w:sectPr>
      </w:pPr>
    </w:p>
    <w:p w:rsidR="008D6C37" w:rsidRDefault="008D6C37" w:rsidP="008D6C37">
      <w:pPr>
        <w:pStyle w:val="Cmsor1"/>
        <w:numPr>
          <w:ilvl w:val="1"/>
          <w:numId w:val="15"/>
        </w:numPr>
        <w:spacing w:line="240" w:lineRule="auto"/>
        <w:rPr>
          <w:sz w:val="20"/>
          <w:szCs w:val="20"/>
        </w:rPr>
      </w:pPr>
      <w:r>
        <w:rPr>
          <w:sz w:val="20"/>
          <w:szCs w:val="20"/>
        </w:rPr>
        <w:t>Effect of red mud on the soil pH and on the metal content</w:t>
      </w:r>
    </w:p>
    <w:p w:rsidR="008D6C37" w:rsidRPr="00DA57F9" w:rsidRDefault="008D6C37" w:rsidP="008D6C37">
      <w:pPr>
        <w:ind w:firstLine="360"/>
      </w:pPr>
      <w:r w:rsidRPr="00DA57F9">
        <w:t>The pH of the untreated soil (0 % red mud) was moderately alkaline (pH 7.5). Following the application of red mud, the soil pH had increased: the addition of 5 % red mud increased the pH of the soil by 1.7 units; 10 % by 2.1 units; 20 % by 2.3 units; 30 % and 40 % by 2.5 units (Table 2). This is in accordance with the results of Lombi et al. [25] who observed an approximately 1.4 units increase of the soil pH (from pH 6.4 to pH 7.8) after the addition of 2 % red mud.</w:t>
      </w:r>
    </w:p>
    <w:p w:rsidR="00D022E7" w:rsidRDefault="008D6C37" w:rsidP="008D6C37">
      <w:pPr>
        <w:ind w:firstLine="360"/>
      </w:pPr>
      <w:r w:rsidRPr="00DA57F9">
        <w:t xml:space="preserve">The total metal content and the water soluble metal content of the soils increased with the red mud loading. We monitored the concentrations of As, Cr, Cu, Ni, Mo, Na and Pb in each soil microcosm. The As, Cr and Ni concentrations in the red mud mixed soils (Table 2) exceeded the Hungarian quality criteria for soil (Hungarian 6/2009 (IV. 14.) KvVM-EüM-FVM decree) as shown in the first column of Table 1. </w:t>
      </w:r>
    </w:p>
    <w:p w:rsidR="00D022E7" w:rsidRDefault="0014789F" w:rsidP="008D6C37">
      <w:pPr>
        <w:ind w:firstLine="360"/>
      </w:pPr>
      <w:r>
        <w:br w:type="column"/>
      </w:r>
    </w:p>
    <w:p w:rsidR="00D022E7" w:rsidRDefault="00D022E7" w:rsidP="00D022E7">
      <w:pPr>
        <w:ind w:firstLine="360"/>
      </w:pPr>
      <w:r w:rsidRPr="00DA57F9">
        <w:t>The Mo and Na concentrations were higher in the untreated soil than in the reference.</w:t>
      </w:r>
    </w:p>
    <w:p w:rsidR="0014789F" w:rsidRDefault="008D6C37" w:rsidP="008D6C37">
      <w:pPr>
        <w:ind w:firstLine="360"/>
      </w:pPr>
      <w:r w:rsidRPr="00DA57F9">
        <w:t>Our results (Table 2) showed that the red mud loading had a significant (p&lt;0.05) effect on both the total and the water soluble As, Cr, Cu, Ni, Mo and Na content. There was no significant effect on the water soluble Pb content. At 10 % red mud dose the total As, Cr and Ni concentration exceeded the Hungarian quality criteria for soil, similarly to the findings of Ruyters et al. [31]. According to Ruyters et al. [31] 4.9 % and 16.5 % red mud dose in a similar soil type resulted that the aqua regia extractable Ni concentrations exceeded the Hungarian quality criteria, while 16.5 % red mud dose caused exceedance of the Hungarian quality criteria for Cr. Based on the chemical analysis of the microcosm samples we found that at 5 % red mud dose the concentrations of the examined toxic metalloids did not exceed the Hunga</w:t>
      </w:r>
      <w:r w:rsidR="0014789F">
        <w:t>rian quality criteria for soil.</w:t>
      </w:r>
    </w:p>
    <w:p w:rsidR="0014789F" w:rsidRDefault="0014789F" w:rsidP="008D6C37">
      <w:pPr>
        <w:ind w:firstLine="360"/>
        <w:sectPr w:rsidR="0014789F" w:rsidSect="008D6C37">
          <w:type w:val="continuous"/>
          <w:pgSz w:w="11909" w:h="16834"/>
          <w:pgMar w:top="1134" w:right="1134" w:bottom="1134" w:left="1134" w:header="708" w:footer="708" w:gutter="0"/>
          <w:cols w:num="2" w:space="285"/>
          <w:noEndnote/>
          <w:docGrid w:linePitch="272"/>
        </w:sectPr>
      </w:pPr>
    </w:p>
    <w:p w:rsidR="0014789F" w:rsidRDefault="0014789F" w:rsidP="008D6C37">
      <w:pPr>
        <w:ind w:firstLine="360"/>
      </w:pPr>
    </w:p>
    <w:p w:rsidR="0014789F" w:rsidRDefault="0014789F" w:rsidP="008D6C37">
      <w:pPr>
        <w:ind w:firstLine="360"/>
      </w:pPr>
    </w:p>
    <w:p w:rsidR="0014789F" w:rsidRDefault="0014789F" w:rsidP="008D6C37">
      <w:pPr>
        <w:ind w:firstLine="360"/>
        <w:sectPr w:rsidR="0014789F" w:rsidSect="008D6C37">
          <w:type w:val="continuous"/>
          <w:pgSz w:w="11909" w:h="16834"/>
          <w:pgMar w:top="1134" w:right="1134" w:bottom="1134" w:left="1134" w:header="708" w:footer="708" w:gutter="0"/>
          <w:cols w:num="2" w:space="285"/>
          <w:noEndnote/>
          <w:docGrid w:linePitch="272"/>
        </w:sectPr>
      </w:pPr>
    </w:p>
    <w:p w:rsidR="0014789F" w:rsidRPr="00D022E7" w:rsidRDefault="0014789F" w:rsidP="0014789F">
      <w:pPr>
        <w:pStyle w:val="TabCaption"/>
        <w:numPr>
          <w:ilvl w:val="0"/>
          <w:numId w:val="0"/>
        </w:numPr>
        <w:ind w:left="709"/>
        <w:jc w:val="both"/>
        <w:rPr>
          <w:sz w:val="18"/>
          <w:szCs w:val="18"/>
        </w:rPr>
      </w:pPr>
      <w:r w:rsidRPr="00D022E7">
        <w:rPr>
          <w:sz w:val="18"/>
          <w:szCs w:val="18"/>
        </w:rPr>
        <w:t>Table 2 Total (aqua regia extract) and water-soluble element concentrations in the red mud mixed soil (at the beginning of the experiment)</w:t>
      </w:r>
    </w:p>
    <w:tbl>
      <w:tblPr>
        <w:tblW w:w="0" w:type="auto"/>
        <w:jc w:val="center"/>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tblPr>
      <w:tblGrid>
        <w:gridCol w:w="1680"/>
        <w:gridCol w:w="840"/>
        <w:gridCol w:w="26"/>
        <w:gridCol w:w="867"/>
        <w:gridCol w:w="67"/>
        <w:gridCol w:w="799"/>
        <w:gridCol w:w="41"/>
        <w:gridCol w:w="826"/>
        <w:gridCol w:w="14"/>
        <w:gridCol w:w="840"/>
        <w:gridCol w:w="12"/>
        <w:gridCol w:w="948"/>
        <w:gridCol w:w="720"/>
        <w:gridCol w:w="826"/>
        <w:gridCol w:w="14"/>
      </w:tblGrid>
      <w:tr w:rsidR="0014789F" w:rsidRPr="00D022E7" w:rsidTr="00A35CB2">
        <w:trPr>
          <w:gridAfter w:val="1"/>
          <w:wAfter w:w="14" w:type="dxa"/>
          <w:trHeight w:val="300"/>
          <w:jc w:val="center"/>
        </w:trPr>
        <w:tc>
          <w:tcPr>
            <w:tcW w:w="1680" w:type="dxa"/>
            <w:vMerge w:val="restart"/>
            <w:tcBorders>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Elements/red mud (RM) amount in soil</w:t>
            </w:r>
          </w:p>
        </w:tc>
        <w:tc>
          <w:tcPr>
            <w:tcW w:w="1800" w:type="dxa"/>
            <w:gridSpan w:val="4"/>
            <w:tcBorders>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As (mg/kg)</w:t>
            </w:r>
          </w:p>
        </w:tc>
        <w:tc>
          <w:tcPr>
            <w:tcW w:w="1680" w:type="dxa"/>
            <w:gridSpan w:val="4"/>
            <w:tcBorders>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Cr (mg/kg)</w:t>
            </w:r>
          </w:p>
        </w:tc>
        <w:tc>
          <w:tcPr>
            <w:tcW w:w="1800" w:type="dxa"/>
            <w:gridSpan w:val="3"/>
            <w:tcBorders>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Cu (mg/kg)</w:t>
            </w:r>
          </w:p>
        </w:tc>
        <w:tc>
          <w:tcPr>
            <w:tcW w:w="1546" w:type="dxa"/>
            <w:gridSpan w:val="2"/>
            <w:tcBorders>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Mo (mg/kg)</w:t>
            </w:r>
          </w:p>
        </w:tc>
      </w:tr>
      <w:tr w:rsidR="0014789F" w:rsidRPr="00D022E7" w:rsidTr="00A35CB2">
        <w:trPr>
          <w:gridAfter w:val="1"/>
          <w:wAfter w:w="14" w:type="dxa"/>
          <w:trHeight w:val="300"/>
          <w:jc w:val="center"/>
        </w:trPr>
        <w:tc>
          <w:tcPr>
            <w:tcW w:w="1680" w:type="dxa"/>
            <w:vMerge/>
            <w:tcBorders>
              <w:top w:val="nil"/>
              <w:left w:val="nil"/>
              <w:bottom w:val="single" w:sz="8" w:space="0" w:color="000000"/>
              <w:right w:val="nil"/>
            </w:tcBorders>
            <w:vAlign w:val="center"/>
            <w:hideMark/>
          </w:tcPr>
          <w:p w:rsidR="0014789F" w:rsidRPr="00D022E7" w:rsidRDefault="0014789F" w:rsidP="0014789F">
            <w:pPr>
              <w:spacing w:before="60" w:line="240" w:lineRule="auto"/>
              <w:jc w:val="center"/>
              <w:rPr>
                <w:b/>
                <w:bCs/>
                <w:color w:val="000000"/>
                <w:sz w:val="18"/>
                <w:szCs w:val="18"/>
              </w:rPr>
            </w:pPr>
          </w:p>
        </w:tc>
        <w:tc>
          <w:tcPr>
            <w:tcW w:w="840"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960" w:type="dxa"/>
            <w:gridSpan w:val="3"/>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840" w:type="dxa"/>
            <w:gridSpan w:val="2"/>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840" w:type="dxa"/>
            <w:gridSpan w:val="2"/>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840"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960" w:type="dxa"/>
            <w:gridSpan w:val="2"/>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720"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826"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r>
      <w:tr w:rsidR="0014789F" w:rsidRPr="00D022E7" w:rsidTr="00A35CB2">
        <w:trPr>
          <w:gridAfter w:val="1"/>
          <w:wAfter w:w="14" w:type="dxa"/>
          <w:trHeight w:val="300"/>
          <w:jc w:val="center"/>
        </w:trPr>
        <w:tc>
          <w:tcPr>
            <w:tcW w:w="1680" w:type="dxa"/>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Untreated soil (S)</w:t>
            </w:r>
          </w:p>
        </w:tc>
        <w:tc>
          <w:tcPr>
            <w:tcW w:w="840"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4.23 a</w:t>
            </w:r>
          </w:p>
        </w:tc>
        <w:tc>
          <w:tcPr>
            <w:tcW w:w="960" w:type="dxa"/>
            <w:gridSpan w:val="3"/>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0.312 a</w:t>
            </w:r>
          </w:p>
        </w:tc>
        <w:tc>
          <w:tcPr>
            <w:tcW w:w="840" w:type="dxa"/>
            <w:gridSpan w:val="2"/>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15.9 a</w:t>
            </w:r>
          </w:p>
        </w:tc>
        <w:tc>
          <w:tcPr>
            <w:tcW w:w="840" w:type="dxa"/>
            <w:gridSpan w:val="2"/>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0.129 a</w:t>
            </w:r>
          </w:p>
        </w:tc>
        <w:tc>
          <w:tcPr>
            <w:tcW w:w="840"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10.7 a</w:t>
            </w:r>
          </w:p>
        </w:tc>
        <w:tc>
          <w:tcPr>
            <w:tcW w:w="960" w:type="dxa"/>
            <w:gridSpan w:val="2"/>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0.688 a</w:t>
            </w:r>
          </w:p>
        </w:tc>
        <w:tc>
          <w:tcPr>
            <w:tcW w:w="720"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1.45 a</w:t>
            </w:r>
          </w:p>
        </w:tc>
        <w:tc>
          <w:tcPr>
            <w:tcW w:w="826"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0.285 a</w:t>
            </w:r>
          </w:p>
        </w:tc>
      </w:tr>
      <w:tr w:rsidR="0014789F" w:rsidRPr="00D022E7" w:rsidTr="00A35CB2">
        <w:trPr>
          <w:gridAfter w:val="1"/>
          <w:wAfter w:w="14" w:type="dxa"/>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+ 5%RM</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11.0 b</w:t>
            </w:r>
          </w:p>
        </w:tc>
        <w:tc>
          <w:tcPr>
            <w:tcW w:w="9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0.310 ab</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58.6 b</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0.320 a</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10.0 a</w:t>
            </w:r>
          </w:p>
        </w:tc>
        <w:tc>
          <w:tcPr>
            <w:tcW w:w="96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0.613 ab</w:t>
            </w:r>
          </w:p>
        </w:tc>
        <w:tc>
          <w:tcPr>
            <w:tcW w:w="72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2.15 b</w:t>
            </w:r>
          </w:p>
        </w:tc>
        <w:tc>
          <w:tcPr>
            <w:tcW w:w="826"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0.394 b</w:t>
            </w:r>
          </w:p>
        </w:tc>
      </w:tr>
      <w:tr w:rsidR="0014789F" w:rsidRPr="00D022E7" w:rsidTr="00A35CB2">
        <w:trPr>
          <w:gridAfter w:val="1"/>
          <w:wAfter w:w="14" w:type="dxa"/>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+ 10%RM</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18.6 c</w:t>
            </w:r>
          </w:p>
        </w:tc>
        <w:tc>
          <w:tcPr>
            <w:tcW w:w="9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0.497 ab</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107 c</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0.627 b</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12.5 a</w:t>
            </w:r>
          </w:p>
        </w:tc>
        <w:tc>
          <w:tcPr>
            <w:tcW w:w="96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1.00 ca</w:t>
            </w:r>
          </w:p>
        </w:tc>
        <w:tc>
          <w:tcPr>
            <w:tcW w:w="72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2.34 b</w:t>
            </w:r>
          </w:p>
        </w:tc>
        <w:tc>
          <w:tcPr>
            <w:tcW w:w="826"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0.515 c</w:t>
            </w:r>
          </w:p>
        </w:tc>
      </w:tr>
      <w:tr w:rsidR="0014789F" w:rsidRPr="00D022E7" w:rsidTr="00A35CB2">
        <w:trPr>
          <w:gridAfter w:val="1"/>
          <w:wAfter w:w="14" w:type="dxa"/>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+ 20%RM</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32.3 c</w:t>
            </w:r>
          </w:p>
        </w:tc>
        <w:tc>
          <w:tcPr>
            <w:tcW w:w="9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0.833 b</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216 d</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0.971 b</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21.8 b</w:t>
            </w:r>
          </w:p>
        </w:tc>
        <w:tc>
          <w:tcPr>
            <w:tcW w:w="96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1.57 dc</w:t>
            </w:r>
          </w:p>
        </w:tc>
        <w:tc>
          <w:tcPr>
            <w:tcW w:w="72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3.00 c</w:t>
            </w:r>
          </w:p>
        </w:tc>
        <w:tc>
          <w:tcPr>
            <w:tcW w:w="826"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0.693 d</w:t>
            </w:r>
          </w:p>
        </w:tc>
      </w:tr>
      <w:tr w:rsidR="0014789F" w:rsidRPr="00D022E7" w:rsidTr="00A35CB2">
        <w:trPr>
          <w:gridAfter w:val="1"/>
          <w:wAfter w:w="14" w:type="dxa"/>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+ 30%RM</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35.2 d</w:t>
            </w:r>
          </w:p>
        </w:tc>
        <w:tc>
          <w:tcPr>
            <w:tcW w:w="9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0.883 c</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238 e</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1.10 c</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22.4 b</w:t>
            </w:r>
          </w:p>
        </w:tc>
        <w:tc>
          <w:tcPr>
            <w:tcW w:w="96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1.70 e</w:t>
            </w:r>
          </w:p>
        </w:tc>
        <w:tc>
          <w:tcPr>
            <w:tcW w:w="72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3.16 c</w:t>
            </w:r>
          </w:p>
        </w:tc>
        <w:tc>
          <w:tcPr>
            <w:tcW w:w="826"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0.829 e</w:t>
            </w:r>
          </w:p>
        </w:tc>
      </w:tr>
      <w:tr w:rsidR="0014789F" w:rsidRPr="00D022E7" w:rsidTr="00A35CB2">
        <w:trPr>
          <w:gridAfter w:val="1"/>
          <w:wAfter w:w="14" w:type="dxa"/>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+ 40%RM</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35.0 e</w:t>
            </w:r>
          </w:p>
        </w:tc>
        <w:tc>
          <w:tcPr>
            <w:tcW w:w="9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1.04 c</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267 f</w:t>
            </w:r>
          </w:p>
        </w:tc>
        <w:tc>
          <w:tcPr>
            <w:tcW w:w="84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1.37 d</w:t>
            </w:r>
          </w:p>
        </w:tc>
        <w:tc>
          <w:tcPr>
            <w:tcW w:w="84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25.0 b</w:t>
            </w:r>
          </w:p>
        </w:tc>
        <w:tc>
          <w:tcPr>
            <w:tcW w:w="960"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1.84 e</w:t>
            </w:r>
          </w:p>
        </w:tc>
        <w:tc>
          <w:tcPr>
            <w:tcW w:w="720"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2.53 b</w:t>
            </w:r>
          </w:p>
        </w:tc>
        <w:tc>
          <w:tcPr>
            <w:tcW w:w="826"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0.989 f</w:t>
            </w:r>
          </w:p>
        </w:tc>
      </w:tr>
      <w:tr w:rsidR="0014789F" w:rsidRPr="00D022E7" w:rsidTr="00A35CB2">
        <w:trPr>
          <w:trHeight w:val="300"/>
          <w:jc w:val="center"/>
        </w:trPr>
        <w:tc>
          <w:tcPr>
            <w:tcW w:w="1680" w:type="dxa"/>
            <w:vMerge w:val="restart"/>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Elements/red mud (RM) amount in soil</w:t>
            </w:r>
          </w:p>
        </w:tc>
        <w:tc>
          <w:tcPr>
            <w:tcW w:w="1733" w:type="dxa"/>
            <w:gridSpan w:val="3"/>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Na (mg/kg)</w:t>
            </w:r>
          </w:p>
        </w:tc>
        <w:tc>
          <w:tcPr>
            <w:tcW w:w="1733" w:type="dxa"/>
            <w:gridSpan w:val="4"/>
            <w:tcBorders>
              <w:top w:val="single" w:sz="8" w:space="0" w:color="000000"/>
              <w:left w:val="nil"/>
              <w:bottom w:val="nil"/>
              <w:right w:val="nil"/>
            </w:tcBorders>
            <w:vAlign w:val="center"/>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Ni (mg/kg)</w:t>
            </w:r>
          </w:p>
        </w:tc>
        <w:tc>
          <w:tcPr>
            <w:tcW w:w="1814" w:type="dxa"/>
            <w:gridSpan w:val="4"/>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Pb (mg/kg)</w:t>
            </w:r>
          </w:p>
        </w:tc>
        <w:tc>
          <w:tcPr>
            <w:tcW w:w="1560" w:type="dxa"/>
            <w:gridSpan w:val="3"/>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pH</w:t>
            </w:r>
          </w:p>
        </w:tc>
      </w:tr>
      <w:tr w:rsidR="0014789F" w:rsidRPr="00D022E7" w:rsidTr="00A35CB2">
        <w:trPr>
          <w:trHeight w:val="300"/>
          <w:jc w:val="center"/>
        </w:trPr>
        <w:tc>
          <w:tcPr>
            <w:tcW w:w="1680" w:type="dxa"/>
            <w:vMerge/>
            <w:tcBorders>
              <w:top w:val="nil"/>
              <w:left w:val="nil"/>
              <w:bottom w:val="single" w:sz="8" w:space="0" w:color="000000"/>
              <w:right w:val="nil"/>
            </w:tcBorders>
            <w:vAlign w:val="center"/>
            <w:hideMark/>
          </w:tcPr>
          <w:p w:rsidR="0014789F" w:rsidRPr="00D022E7" w:rsidRDefault="0014789F" w:rsidP="0014789F">
            <w:pPr>
              <w:spacing w:before="60" w:line="240" w:lineRule="auto"/>
              <w:jc w:val="center"/>
              <w:rPr>
                <w:b/>
                <w:bCs/>
                <w:color w:val="000000"/>
                <w:sz w:val="18"/>
                <w:szCs w:val="18"/>
              </w:rPr>
            </w:pPr>
          </w:p>
        </w:tc>
        <w:tc>
          <w:tcPr>
            <w:tcW w:w="866" w:type="dxa"/>
            <w:gridSpan w:val="2"/>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867"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866" w:type="dxa"/>
            <w:gridSpan w:val="2"/>
            <w:tcBorders>
              <w:top w:val="nil"/>
              <w:left w:val="nil"/>
              <w:bottom w:val="single" w:sz="8" w:space="0" w:color="000000"/>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867" w:type="dxa"/>
            <w:gridSpan w:val="2"/>
            <w:tcBorders>
              <w:top w:val="nil"/>
              <w:left w:val="nil"/>
              <w:bottom w:val="single" w:sz="8" w:space="0" w:color="000000"/>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866" w:type="dxa"/>
            <w:gridSpan w:val="3"/>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Total</w:t>
            </w:r>
          </w:p>
        </w:tc>
        <w:tc>
          <w:tcPr>
            <w:tcW w:w="948" w:type="dxa"/>
            <w:tcBorders>
              <w:top w:val="nil"/>
              <w:left w:val="nil"/>
              <w:bottom w:val="single" w:sz="8" w:space="0" w:color="000000"/>
              <w:right w:val="nil"/>
            </w:tcBorders>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Water soluble</w:t>
            </w:r>
          </w:p>
        </w:tc>
        <w:tc>
          <w:tcPr>
            <w:tcW w:w="1560" w:type="dxa"/>
            <w:gridSpan w:val="3"/>
            <w:tcBorders>
              <w:top w:val="nil"/>
              <w:left w:val="nil"/>
              <w:bottom w:val="single" w:sz="8" w:space="0" w:color="000000"/>
              <w:right w:val="nil"/>
            </w:tcBorders>
            <w:vAlign w:val="center"/>
            <w:hideMark/>
          </w:tcPr>
          <w:p w:rsidR="0014789F" w:rsidRPr="00D022E7" w:rsidRDefault="0014789F" w:rsidP="0014789F">
            <w:pPr>
              <w:spacing w:before="60" w:line="240" w:lineRule="auto"/>
              <w:jc w:val="center"/>
              <w:rPr>
                <w:color w:val="000000"/>
                <w:sz w:val="18"/>
                <w:szCs w:val="18"/>
              </w:rPr>
            </w:pPr>
          </w:p>
        </w:tc>
      </w:tr>
      <w:tr w:rsidR="0014789F" w:rsidRPr="00D022E7" w:rsidTr="00A35CB2">
        <w:trPr>
          <w:trHeight w:val="300"/>
          <w:jc w:val="center"/>
        </w:trPr>
        <w:tc>
          <w:tcPr>
            <w:tcW w:w="1680" w:type="dxa"/>
            <w:tcBorders>
              <w:top w:val="single" w:sz="8" w:space="0" w:color="000000"/>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Untreated soil (S)</w:t>
            </w:r>
          </w:p>
        </w:tc>
        <w:tc>
          <w:tcPr>
            <w:tcW w:w="866" w:type="dxa"/>
            <w:gridSpan w:val="2"/>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641 a</w:t>
            </w:r>
          </w:p>
        </w:tc>
        <w:tc>
          <w:tcPr>
            <w:tcW w:w="867"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328 a</w:t>
            </w:r>
          </w:p>
        </w:tc>
        <w:tc>
          <w:tcPr>
            <w:tcW w:w="866" w:type="dxa"/>
            <w:gridSpan w:val="2"/>
            <w:tcBorders>
              <w:top w:val="single" w:sz="8" w:space="0" w:color="000000"/>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8.33 a</w:t>
            </w:r>
          </w:p>
        </w:tc>
        <w:tc>
          <w:tcPr>
            <w:tcW w:w="867" w:type="dxa"/>
            <w:gridSpan w:val="2"/>
            <w:tcBorders>
              <w:top w:val="single" w:sz="8" w:space="0" w:color="000000"/>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0.133 a</w:t>
            </w:r>
          </w:p>
        </w:tc>
        <w:tc>
          <w:tcPr>
            <w:tcW w:w="866" w:type="dxa"/>
            <w:gridSpan w:val="3"/>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10.3 a</w:t>
            </w:r>
          </w:p>
        </w:tc>
        <w:tc>
          <w:tcPr>
            <w:tcW w:w="948" w:type="dxa"/>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0.204 a</w:t>
            </w:r>
          </w:p>
        </w:tc>
        <w:tc>
          <w:tcPr>
            <w:tcW w:w="1560" w:type="dxa"/>
            <w:gridSpan w:val="3"/>
            <w:tcBorders>
              <w:top w:val="single" w:sz="8" w:space="0" w:color="000000"/>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7.5 a</w:t>
            </w:r>
          </w:p>
        </w:tc>
      </w:tr>
      <w:tr w:rsidR="0014789F" w:rsidRPr="00D022E7" w:rsidTr="00A35CB2">
        <w:trPr>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+ 5%RM</w:t>
            </w:r>
          </w:p>
        </w:tc>
        <w:tc>
          <w:tcPr>
            <w:tcW w:w="866"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3773 b</w:t>
            </w:r>
          </w:p>
        </w:tc>
        <w:tc>
          <w:tcPr>
            <w:tcW w:w="867"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575 b</w:t>
            </w:r>
          </w:p>
        </w:tc>
        <w:tc>
          <w:tcPr>
            <w:tcW w:w="866"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27.5 b</w:t>
            </w:r>
          </w:p>
        </w:tc>
        <w:tc>
          <w:tcPr>
            <w:tcW w:w="867"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0.241 a</w:t>
            </w:r>
          </w:p>
        </w:tc>
        <w:tc>
          <w:tcPr>
            <w:tcW w:w="866"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21.5 b</w:t>
            </w:r>
          </w:p>
        </w:tc>
        <w:tc>
          <w:tcPr>
            <w:tcW w:w="948"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0.119 a</w:t>
            </w:r>
          </w:p>
        </w:tc>
        <w:tc>
          <w:tcPr>
            <w:tcW w:w="15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9.2 b</w:t>
            </w:r>
          </w:p>
        </w:tc>
      </w:tr>
      <w:tr w:rsidR="0014789F" w:rsidRPr="00D022E7" w:rsidTr="00A35CB2">
        <w:trPr>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+ 10%RM</w:t>
            </w:r>
          </w:p>
        </w:tc>
        <w:tc>
          <w:tcPr>
            <w:tcW w:w="866"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7192 c</w:t>
            </w:r>
          </w:p>
        </w:tc>
        <w:tc>
          <w:tcPr>
            <w:tcW w:w="867"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725 cb</w:t>
            </w:r>
          </w:p>
        </w:tc>
        <w:tc>
          <w:tcPr>
            <w:tcW w:w="866"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51.5 c</w:t>
            </w:r>
          </w:p>
        </w:tc>
        <w:tc>
          <w:tcPr>
            <w:tcW w:w="867"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0.388 b</w:t>
            </w:r>
          </w:p>
        </w:tc>
        <w:tc>
          <w:tcPr>
            <w:tcW w:w="866"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32.9 c</w:t>
            </w:r>
          </w:p>
        </w:tc>
        <w:tc>
          <w:tcPr>
            <w:tcW w:w="948"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0.233 a</w:t>
            </w:r>
          </w:p>
        </w:tc>
        <w:tc>
          <w:tcPr>
            <w:tcW w:w="15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9.6 c</w:t>
            </w:r>
          </w:p>
        </w:tc>
      </w:tr>
      <w:tr w:rsidR="0014789F" w:rsidRPr="00D022E7" w:rsidTr="00A35CB2">
        <w:trPr>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+ 20%RM</w:t>
            </w:r>
          </w:p>
        </w:tc>
        <w:tc>
          <w:tcPr>
            <w:tcW w:w="866"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16088 d</w:t>
            </w:r>
          </w:p>
        </w:tc>
        <w:tc>
          <w:tcPr>
            <w:tcW w:w="867"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1114 dc</w:t>
            </w:r>
          </w:p>
        </w:tc>
        <w:tc>
          <w:tcPr>
            <w:tcW w:w="866"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101 d</w:t>
            </w:r>
          </w:p>
        </w:tc>
        <w:tc>
          <w:tcPr>
            <w:tcW w:w="867"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0.599 b</w:t>
            </w:r>
          </w:p>
        </w:tc>
        <w:tc>
          <w:tcPr>
            <w:tcW w:w="866"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63.0 d</w:t>
            </w:r>
          </w:p>
        </w:tc>
        <w:tc>
          <w:tcPr>
            <w:tcW w:w="948"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0.194 a</w:t>
            </w:r>
          </w:p>
        </w:tc>
        <w:tc>
          <w:tcPr>
            <w:tcW w:w="15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9.8 d</w:t>
            </w:r>
          </w:p>
        </w:tc>
      </w:tr>
      <w:tr w:rsidR="0014789F" w:rsidRPr="00D022E7" w:rsidTr="00A35CB2">
        <w:trPr>
          <w:trHeight w:val="300"/>
          <w:jc w:val="center"/>
        </w:trPr>
        <w:tc>
          <w:tcPr>
            <w:tcW w:w="1680" w:type="dxa"/>
            <w:tcBorders>
              <w:top w:val="nil"/>
              <w:left w:val="nil"/>
              <w:bottom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+ 30%RM</w:t>
            </w:r>
          </w:p>
        </w:tc>
        <w:tc>
          <w:tcPr>
            <w:tcW w:w="866" w:type="dxa"/>
            <w:gridSpan w:val="2"/>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18212 e</w:t>
            </w:r>
          </w:p>
        </w:tc>
        <w:tc>
          <w:tcPr>
            <w:tcW w:w="867"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1230 e</w:t>
            </w:r>
          </w:p>
        </w:tc>
        <w:tc>
          <w:tcPr>
            <w:tcW w:w="866"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110 e</w:t>
            </w:r>
          </w:p>
        </w:tc>
        <w:tc>
          <w:tcPr>
            <w:tcW w:w="867" w:type="dxa"/>
            <w:gridSpan w:val="2"/>
            <w:tcBorders>
              <w:top w:val="nil"/>
              <w:left w:val="nil"/>
              <w:bottom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0.664 c</w:t>
            </w:r>
          </w:p>
        </w:tc>
        <w:tc>
          <w:tcPr>
            <w:tcW w:w="866"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70.3 e</w:t>
            </w:r>
          </w:p>
        </w:tc>
        <w:tc>
          <w:tcPr>
            <w:tcW w:w="948" w:type="dxa"/>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0.272 a</w:t>
            </w:r>
          </w:p>
        </w:tc>
        <w:tc>
          <w:tcPr>
            <w:tcW w:w="1560" w:type="dxa"/>
            <w:gridSpan w:val="3"/>
            <w:tcBorders>
              <w:top w:val="nil"/>
              <w:left w:val="nil"/>
              <w:bottom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10.0 e</w:t>
            </w:r>
          </w:p>
        </w:tc>
      </w:tr>
      <w:tr w:rsidR="0014789F" w:rsidRPr="00D022E7" w:rsidTr="00A35CB2">
        <w:trPr>
          <w:trHeight w:val="300"/>
          <w:jc w:val="center"/>
        </w:trPr>
        <w:tc>
          <w:tcPr>
            <w:tcW w:w="1680" w:type="dxa"/>
            <w:tcBorders>
              <w:top w:val="nil"/>
              <w:left w:val="nil"/>
              <w:right w:val="nil"/>
            </w:tcBorders>
            <w:vAlign w:val="center"/>
            <w:hideMark/>
          </w:tcPr>
          <w:p w:rsidR="0014789F" w:rsidRPr="00D022E7" w:rsidRDefault="0014789F" w:rsidP="0014789F">
            <w:pPr>
              <w:spacing w:before="60" w:line="240" w:lineRule="auto"/>
              <w:ind w:firstLine="0"/>
              <w:jc w:val="center"/>
              <w:rPr>
                <w:b/>
                <w:bCs/>
                <w:color w:val="000000"/>
                <w:sz w:val="18"/>
                <w:szCs w:val="18"/>
              </w:rPr>
            </w:pPr>
            <w:r w:rsidRPr="00D022E7">
              <w:rPr>
                <w:b/>
                <w:bCs/>
                <w:color w:val="000000"/>
                <w:sz w:val="18"/>
                <w:szCs w:val="18"/>
              </w:rPr>
              <w:t>S + 40%RM</w:t>
            </w:r>
          </w:p>
        </w:tc>
        <w:tc>
          <w:tcPr>
            <w:tcW w:w="866" w:type="dxa"/>
            <w:gridSpan w:val="2"/>
            <w:tcBorders>
              <w:top w:val="nil"/>
              <w:left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21025 f</w:t>
            </w:r>
          </w:p>
        </w:tc>
        <w:tc>
          <w:tcPr>
            <w:tcW w:w="867" w:type="dxa"/>
            <w:tcBorders>
              <w:top w:val="nil"/>
              <w:left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1438 f</w:t>
            </w:r>
          </w:p>
        </w:tc>
        <w:tc>
          <w:tcPr>
            <w:tcW w:w="866" w:type="dxa"/>
            <w:gridSpan w:val="2"/>
            <w:tcBorders>
              <w:top w:val="nil"/>
              <w:left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126 f</w:t>
            </w:r>
          </w:p>
        </w:tc>
        <w:tc>
          <w:tcPr>
            <w:tcW w:w="867" w:type="dxa"/>
            <w:gridSpan w:val="2"/>
            <w:tcBorders>
              <w:top w:val="nil"/>
              <w:left w:val="nil"/>
              <w:right w:val="nil"/>
            </w:tcBorders>
            <w:vAlign w:val="center"/>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0.765 c</w:t>
            </w:r>
          </w:p>
        </w:tc>
        <w:tc>
          <w:tcPr>
            <w:tcW w:w="866" w:type="dxa"/>
            <w:gridSpan w:val="3"/>
            <w:tcBorders>
              <w:top w:val="nil"/>
              <w:left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79.7 f</w:t>
            </w:r>
          </w:p>
        </w:tc>
        <w:tc>
          <w:tcPr>
            <w:tcW w:w="948" w:type="dxa"/>
            <w:tcBorders>
              <w:top w:val="nil"/>
              <w:left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0.449 a</w:t>
            </w:r>
          </w:p>
        </w:tc>
        <w:tc>
          <w:tcPr>
            <w:tcW w:w="1560" w:type="dxa"/>
            <w:gridSpan w:val="3"/>
            <w:tcBorders>
              <w:top w:val="nil"/>
              <w:left w:val="nil"/>
              <w:right w:val="nil"/>
            </w:tcBorders>
            <w:noWrap/>
            <w:vAlign w:val="center"/>
            <w:hideMark/>
          </w:tcPr>
          <w:p w:rsidR="0014789F" w:rsidRPr="00D022E7" w:rsidRDefault="0014789F" w:rsidP="0014789F">
            <w:pPr>
              <w:spacing w:before="60" w:line="240" w:lineRule="auto"/>
              <w:ind w:firstLine="0"/>
              <w:jc w:val="center"/>
              <w:rPr>
                <w:color w:val="000000"/>
                <w:sz w:val="18"/>
                <w:szCs w:val="18"/>
              </w:rPr>
            </w:pPr>
            <w:r w:rsidRPr="00D022E7">
              <w:rPr>
                <w:color w:val="000000"/>
                <w:sz w:val="18"/>
                <w:szCs w:val="18"/>
              </w:rPr>
              <w:t>10.0 e</w:t>
            </w:r>
          </w:p>
        </w:tc>
      </w:tr>
    </w:tbl>
    <w:p w:rsidR="0014789F" w:rsidRDefault="0014789F" w:rsidP="0014789F">
      <w:pPr>
        <w:spacing w:line="240" w:lineRule="auto"/>
        <w:jc w:val="left"/>
        <w:rPr>
          <w:sz w:val="18"/>
          <w:szCs w:val="18"/>
        </w:rPr>
        <w:sectPr w:rsidR="0014789F" w:rsidSect="0014789F">
          <w:type w:val="continuous"/>
          <w:pgSz w:w="11909" w:h="16834"/>
          <w:pgMar w:top="1134" w:right="1134" w:bottom="1134" w:left="1134" w:header="708" w:footer="708" w:gutter="0"/>
          <w:cols w:space="285"/>
          <w:noEndnote/>
          <w:docGrid w:linePitch="272"/>
        </w:sectPr>
      </w:pPr>
      <w:r w:rsidRPr="00D022E7">
        <w:rPr>
          <w:sz w:val="18"/>
          <w:szCs w:val="18"/>
          <w:lang w:val="en-US"/>
        </w:rPr>
        <w:t xml:space="preserve">Values followed by the same letters, indicate no significant differences at the level of </w:t>
      </w:r>
      <w:r w:rsidRPr="00D022E7">
        <w:rPr>
          <w:sz w:val="18"/>
          <w:szCs w:val="18"/>
        </w:rPr>
        <w:t>p</w:t>
      </w:r>
      <w:r w:rsidRPr="00D022E7">
        <w:rPr>
          <w:sz w:val="18"/>
          <w:szCs w:val="18"/>
          <w:lang w:val="en-US"/>
        </w:rPr>
        <w:t>=</w:t>
      </w:r>
      <w:r w:rsidRPr="00D022E7">
        <w:rPr>
          <w:sz w:val="18"/>
          <w:szCs w:val="18"/>
        </w:rPr>
        <w:t>0.05. LSD, Least significant difference.</w:t>
      </w:r>
    </w:p>
    <w:p w:rsidR="0014789F" w:rsidRDefault="0014789F" w:rsidP="0014789F">
      <w:pPr>
        <w:spacing w:line="240" w:lineRule="auto"/>
        <w:jc w:val="left"/>
        <w:rPr>
          <w:sz w:val="18"/>
          <w:szCs w:val="18"/>
          <w:lang w:val="en-US"/>
        </w:rPr>
      </w:pPr>
    </w:p>
    <w:p w:rsidR="0014789F" w:rsidRDefault="0014789F" w:rsidP="0014789F">
      <w:pPr>
        <w:spacing w:line="240" w:lineRule="auto"/>
        <w:jc w:val="left"/>
        <w:rPr>
          <w:sz w:val="18"/>
          <w:szCs w:val="18"/>
          <w:lang w:val="en-US"/>
        </w:rPr>
      </w:pPr>
    </w:p>
    <w:p w:rsidR="0014789F" w:rsidRDefault="0014789F" w:rsidP="0014789F">
      <w:pPr>
        <w:spacing w:line="240" w:lineRule="auto"/>
        <w:jc w:val="left"/>
        <w:rPr>
          <w:sz w:val="18"/>
          <w:szCs w:val="18"/>
          <w:lang w:val="en-US"/>
        </w:rPr>
        <w:sectPr w:rsidR="0014789F" w:rsidSect="0014789F">
          <w:type w:val="continuous"/>
          <w:pgSz w:w="11909" w:h="16834"/>
          <w:pgMar w:top="1134" w:right="1134" w:bottom="1134" w:left="1134" w:header="708" w:footer="708" w:gutter="0"/>
          <w:cols w:space="285"/>
          <w:noEndnote/>
          <w:docGrid w:linePitch="272"/>
        </w:sectPr>
      </w:pPr>
    </w:p>
    <w:p w:rsidR="0014789F" w:rsidRPr="0014789F" w:rsidRDefault="0014789F" w:rsidP="0014789F">
      <w:pPr>
        <w:spacing w:line="280" w:lineRule="exact"/>
        <w:rPr>
          <w:sz w:val="18"/>
          <w:szCs w:val="18"/>
        </w:rPr>
      </w:pPr>
      <w:r w:rsidRPr="00DA57F9">
        <w:t xml:space="preserve">The red mud has high Na content, typical for bauxite residues of the Bayer process [38]. High Na-concentration in the soil increases the risk of sodification. Gruiz et al. [9] recommended Na: 900 mg/kg concentration as site specific screening value for the soil of the Ajka region. </w:t>
      </w:r>
      <w:r>
        <w:br w:type="column"/>
      </w:r>
      <w:r w:rsidRPr="00DA57F9">
        <w:t>We found that this value had already been exceeded in the 5 % red mud containing soil.</w:t>
      </w:r>
      <w:r>
        <w:t xml:space="preserve"> </w:t>
      </w:r>
      <w:r w:rsidRPr="00DA57F9">
        <w:t>Red mud loading in soil had significantly increased the total and the water soluble Na content compared to the untreated soil (Table 2).</w:t>
      </w:r>
    </w:p>
    <w:p w:rsidR="0014789F" w:rsidRPr="0014789F" w:rsidRDefault="0014789F" w:rsidP="0014789F">
      <w:pPr>
        <w:spacing w:line="280" w:lineRule="exact"/>
        <w:rPr>
          <w:sz w:val="18"/>
          <w:szCs w:val="18"/>
          <w:lang w:val="en-US"/>
        </w:rPr>
      </w:pPr>
    </w:p>
    <w:p w:rsidR="0014789F" w:rsidRDefault="0014789F" w:rsidP="008D6C37">
      <w:pPr>
        <w:ind w:firstLine="360"/>
        <w:sectPr w:rsidR="0014789F" w:rsidSect="0014789F">
          <w:type w:val="continuous"/>
          <w:pgSz w:w="11909" w:h="16834"/>
          <w:pgMar w:top="1134" w:right="1134" w:bottom="1134" w:left="1134" w:header="708" w:footer="708" w:gutter="0"/>
          <w:cols w:num="2" w:space="285"/>
          <w:noEndnote/>
          <w:docGrid w:linePitch="272"/>
        </w:sectPr>
      </w:pPr>
    </w:p>
    <w:p w:rsidR="0014789F" w:rsidRDefault="0014789F" w:rsidP="008D6C37">
      <w:pPr>
        <w:ind w:firstLine="360"/>
      </w:pPr>
    </w:p>
    <w:p w:rsidR="0014789F" w:rsidRDefault="0014789F" w:rsidP="008D6C37">
      <w:pPr>
        <w:ind w:firstLine="360"/>
        <w:sectPr w:rsidR="0014789F" w:rsidSect="0014789F">
          <w:type w:val="continuous"/>
          <w:pgSz w:w="11909" w:h="16834"/>
          <w:pgMar w:top="1134" w:right="1134" w:bottom="1134" w:left="1134" w:header="708" w:footer="708" w:gutter="0"/>
          <w:cols w:space="285"/>
          <w:noEndnote/>
          <w:docGrid w:linePitch="272"/>
        </w:sectPr>
      </w:pPr>
    </w:p>
    <w:p w:rsidR="00946C32" w:rsidRDefault="00946C32" w:rsidP="008D6C37">
      <w:pPr>
        <w:spacing w:line="240" w:lineRule="auto"/>
        <w:jc w:val="left"/>
        <w:rPr>
          <w:sz w:val="18"/>
          <w:szCs w:val="18"/>
        </w:rPr>
      </w:pPr>
    </w:p>
    <w:p w:rsidR="00DA57F9" w:rsidRDefault="008D6C37" w:rsidP="00946A5F">
      <w:pPr>
        <w:ind w:firstLine="0"/>
      </w:pPr>
      <w:r w:rsidRPr="00DA57F9">
        <w:t>The same pattern was found by Ruyters et al. [31]. The salinity of red mud may affect plant growth on the short term. However, depending on the salinity of the soils (Table 3) at 5 %, 10 % and 20 % red mud dose the soils became slightly saline according to Stefanovits [39], therefore, the growth of only some very salt-sensitive crops would be inhibited. The 30 % and 40 % red mud dose resulted in moderately saline soil, inhibiting the growth of most cultivated crops, but the growth of salt-tolerant crops would be undisturbed. According to salt content of the soil samples we found a tolerable inhibition of plant growth at below 20 % red mud dose.</w:t>
      </w:r>
    </w:p>
    <w:p w:rsidR="008D6C37" w:rsidRPr="00947359" w:rsidRDefault="008D6C37" w:rsidP="008D6C37">
      <w:pPr>
        <w:pStyle w:val="Kpalrs"/>
        <w:keepNext/>
        <w:jc w:val="center"/>
        <w:rPr>
          <w:rFonts w:ascii="Arial" w:hAnsi="Arial" w:cs="Arial"/>
          <w:bCs w:val="0"/>
          <w:iCs/>
          <w:noProof/>
          <w:sz w:val="16"/>
          <w:lang w:val="en-US"/>
        </w:rPr>
      </w:pPr>
      <w:r w:rsidRPr="00947359">
        <w:rPr>
          <w:rFonts w:ascii="Arial" w:hAnsi="Arial" w:cs="Arial"/>
          <w:bCs w:val="0"/>
          <w:iCs/>
          <w:noProof/>
          <w:sz w:val="16"/>
          <w:lang w:val="en-US"/>
        </w:rPr>
        <w:t>Table 3 Salinity of red mud mixed soils</w:t>
      </w:r>
    </w:p>
    <w:tbl>
      <w:tblPr>
        <w:tblW w:w="4651" w:type="pct"/>
        <w:jc w:val="center"/>
        <w:tblInd w:w="-2322" w:type="dxa"/>
        <w:tblBorders>
          <w:top w:val="single" w:sz="8" w:space="0" w:color="000000"/>
          <w:bottom w:val="single" w:sz="8" w:space="0" w:color="000000"/>
        </w:tblBorders>
        <w:tblLayout w:type="fixed"/>
        <w:tblLook w:val="06A0"/>
      </w:tblPr>
      <w:tblGrid>
        <w:gridCol w:w="31"/>
        <w:gridCol w:w="1326"/>
        <w:gridCol w:w="15"/>
        <w:gridCol w:w="1400"/>
        <w:gridCol w:w="15"/>
        <w:gridCol w:w="1765"/>
      </w:tblGrid>
      <w:tr w:rsidR="00946A5F" w:rsidRPr="00947359" w:rsidTr="00946A5F">
        <w:trPr>
          <w:trHeight w:val="255"/>
          <w:jc w:val="center"/>
        </w:trPr>
        <w:tc>
          <w:tcPr>
            <w:tcW w:w="1489" w:type="pct"/>
            <w:gridSpan w:val="2"/>
            <w:tcBorders>
              <w:top w:val="single" w:sz="8" w:space="0" w:color="000000"/>
              <w:left w:val="nil"/>
              <w:bottom w:val="single" w:sz="8" w:space="0" w:color="000000"/>
              <w:right w:val="nil"/>
            </w:tcBorders>
            <w:noWrap/>
            <w:vAlign w:val="center"/>
            <w:hideMark/>
          </w:tcPr>
          <w:p w:rsidR="008D6C37" w:rsidRPr="00947359" w:rsidRDefault="008D6C37" w:rsidP="00946A5F">
            <w:pPr>
              <w:spacing w:line="240" w:lineRule="auto"/>
              <w:jc w:val="center"/>
              <w:rPr>
                <w:b/>
                <w:bCs/>
                <w:color w:val="000000"/>
                <w:sz w:val="18"/>
                <w:szCs w:val="18"/>
              </w:rPr>
            </w:pPr>
          </w:p>
        </w:tc>
        <w:tc>
          <w:tcPr>
            <w:tcW w:w="1555" w:type="pct"/>
            <w:gridSpan w:val="2"/>
            <w:tcBorders>
              <w:top w:val="single" w:sz="8" w:space="0" w:color="000000"/>
              <w:left w:val="nil"/>
              <w:bottom w:val="single" w:sz="8" w:space="0" w:color="000000"/>
              <w:right w:val="nil"/>
            </w:tcBorders>
            <w:noWrap/>
            <w:vAlign w:val="center"/>
            <w:hideMark/>
          </w:tcPr>
          <w:p w:rsidR="008D6C37" w:rsidRPr="00947359" w:rsidRDefault="008D6C37" w:rsidP="00946A5F">
            <w:pPr>
              <w:spacing w:line="240" w:lineRule="auto"/>
              <w:ind w:firstLine="0"/>
              <w:jc w:val="center"/>
              <w:rPr>
                <w:b/>
                <w:bCs/>
                <w:color w:val="000000"/>
                <w:sz w:val="18"/>
                <w:szCs w:val="18"/>
              </w:rPr>
            </w:pPr>
            <w:r w:rsidRPr="00947359">
              <w:rPr>
                <w:b/>
                <w:bCs/>
                <w:color w:val="000000"/>
                <w:sz w:val="18"/>
                <w:szCs w:val="18"/>
              </w:rPr>
              <w:t>Total salt content [%]</w:t>
            </w:r>
          </w:p>
        </w:tc>
        <w:tc>
          <w:tcPr>
            <w:tcW w:w="1955" w:type="pct"/>
            <w:gridSpan w:val="2"/>
            <w:tcBorders>
              <w:top w:val="single" w:sz="8" w:space="0" w:color="000000"/>
              <w:left w:val="nil"/>
              <w:bottom w:val="single" w:sz="8" w:space="0" w:color="000000"/>
              <w:right w:val="nil"/>
            </w:tcBorders>
            <w:noWrap/>
            <w:vAlign w:val="center"/>
            <w:hideMark/>
          </w:tcPr>
          <w:p w:rsidR="008D6C37" w:rsidRPr="00947359" w:rsidRDefault="008D6C37" w:rsidP="00946A5F">
            <w:pPr>
              <w:spacing w:line="240" w:lineRule="auto"/>
              <w:ind w:firstLine="0"/>
              <w:jc w:val="center"/>
              <w:rPr>
                <w:b/>
                <w:bCs/>
                <w:color w:val="000000"/>
                <w:sz w:val="18"/>
                <w:szCs w:val="18"/>
              </w:rPr>
            </w:pPr>
            <w:r w:rsidRPr="00947359">
              <w:rPr>
                <w:b/>
                <w:bCs/>
                <w:color w:val="000000"/>
                <w:sz w:val="18"/>
                <w:szCs w:val="18"/>
              </w:rPr>
              <w:t>Salt content*</w:t>
            </w:r>
          </w:p>
        </w:tc>
      </w:tr>
      <w:tr w:rsidR="008D6C37" w:rsidRPr="00947359" w:rsidTr="00946A5F">
        <w:trPr>
          <w:gridBefore w:val="1"/>
          <w:wBefore w:w="33" w:type="pct"/>
          <w:trHeight w:val="255"/>
          <w:jc w:val="center"/>
        </w:trPr>
        <w:tc>
          <w:tcPr>
            <w:tcW w:w="1473" w:type="pct"/>
            <w:gridSpan w:val="2"/>
            <w:noWrap/>
            <w:vAlign w:val="center"/>
            <w:hideMark/>
          </w:tcPr>
          <w:p w:rsidR="00946A5F" w:rsidRPr="00947359" w:rsidRDefault="008D6C37" w:rsidP="00946A5F">
            <w:pPr>
              <w:spacing w:line="240" w:lineRule="auto"/>
              <w:ind w:firstLine="0"/>
              <w:jc w:val="center"/>
              <w:rPr>
                <w:bCs/>
                <w:color w:val="000000"/>
                <w:sz w:val="18"/>
                <w:szCs w:val="18"/>
              </w:rPr>
            </w:pPr>
            <w:r w:rsidRPr="00947359">
              <w:rPr>
                <w:bCs/>
                <w:color w:val="000000"/>
                <w:sz w:val="18"/>
                <w:szCs w:val="18"/>
              </w:rPr>
              <w:t>R</w:t>
            </w:r>
          </w:p>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0.00</w:t>
            </w:r>
          </w:p>
          <w:p w:rsidR="008D6C37" w:rsidRPr="00947359" w:rsidRDefault="008D6C37" w:rsidP="00946A5F">
            <w:pPr>
              <w:spacing w:line="240" w:lineRule="auto"/>
              <w:ind w:firstLine="0"/>
              <w:jc w:val="center"/>
              <w:rPr>
                <w:color w:val="000000"/>
                <w:sz w:val="18"/>
                <w:szCs w:val="18"/>
              </w:rPr>
            </w:pPr>
            <w:r w:rsidRPr="00947359">
              <w:rPr>
                <w:color w:val="000000"/>
                <w:sz w:val="18"/>
                <w:szCs w:val="18"/>
              </w:rPr>
              <w:t>0.05</w:t>
            </w:r>
          </w:p>
        </w:tc>
        <w:tc>
          <w:tcPr>
            <w:tcW w:w="1939" w:type="pct"/>
            <w:noWrap/>
            <w:vAlign w:val="center"/>
            <w:hideMark/>
          </w:tcPr>
          <w:p w:rsidR="00946A5F" w:rsidRPr="00947359" w:rsidRDefault="008D6C37" w:rsidP="00946A5F">
            <w:pPr>
              <w:spacing w:line="240" w:lineRule="auto"/>
              <w:ind w:firstLine="0"/>
              <w:jc w:val="center"/>
              <w:rPr>
                <w:color w:val="000000"/>
                <w:sz w:val="18"/>
                <w:szCs w:val="18"/>
              </w:rPr>
            </w:pPr>
            <w:r w:rsidRPr="00947359">
              <w:rPr>
                <w:color w:val="000000"/>
                <w:sz w:val="18"/>
                <w:szCs w:val="18"/>
              </w:rPr>
              <w:t>not saline</w:t>
            </w:r>
          </w:p>
          <w:p w:rsidR="008D6C37" w:rsidRPr="00947359" w:rsidRDefault="008D6C37" w:rsidP="00946A5F">
            <w:pPr>
              <w:spacing w:line="240" w:lineRule="auto"/>
              <w:ind w:firstLine="0"/>
              <w:jc w:val="center"/>
              <w:rPr>
                <w:color w:val="000000"/>
                <w:sz w:val="18"/>
                <w:szCs w:val="18"/>
              </w:rPr>
            </w:pPr>
            <w:r w:rsidRPr="00947359">
              <w:rPr>
                <w:color w:val="000000"/>
                <w:sz w:val="18"/>
                <w:szCs w:val="18"/>
              </w:rPr>
              <w:t>not saline</w:t>
            </w:r>
          </w:p>
        </w:tc>
      </w:tr>
      <w:tr w:rsidR="00946A5F" w:rsidRPr="00947359" w:rsidTr="00946A5F">
        <w:trPr>
          <w:trHeight w:val="255"/>
          <w:jc w:val="center"/>
        </w:trPr>
        <w:tc>
          <w:tcPr>
            <w:tcW w:w="1489" w:type="pct"/>
            <w:gridSpan w:val="2"/>
            <w:noWrap/>
            <w:vAlign w:val="center"/>
            <w:hideMark/>
          </w:tcPr>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 + 5% RM</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0.11</w:t>
            </w:r>
          </w:p>
        </w:tc>
        <w:tc>
          <w:tcPr>
            <w:tcW w:w="19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low salinity</w:t>
            </w:r>
          </w:p>
        </w:tc>
      </w:tr>
      <w:tr w:rsidR="00946A5F" w:rsidRPr="00947359" w:rsidTr="00946A5F">
        <w:trPr>
          <w:trHeight w:val="255"/>
          <w:jc w:val="center"/>
        </w:trPr>
        <w:tc>
          <w:tcPr>
            <w:tcW w:w="1489" w:type="pct"/>
            <w:gridSpan w:val="2"/>
            <w:noWrap/>
            <w:vAlign w:val="center"/>
            <w:hideMark/>
          </w:tcPr>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 + 10% RM</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0.12</w:t>
            </w:r>
          </w:p>
        </w:tc>
        <w:tc>
          <w:tcPr>
            <w:tcW w:w="19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low salinity</w:t>
            </w:r>
          </w:p>
        </w:tc>
      </w:tr>
      <w:tr w:rsidR="00946A5F" w:rsidRPr="00947359" w:rsidTr="00946A5F">
        <w:trPr>
          <w:trHeight w:val="255"/>
          <w:jc w:val="center"/>
        </w:trPr>
        <w:tc>
          <w:tcPr>
            <w:tcW w:w="1489" w:type="pct"/>
            <w:gridSpan w:val="2"/>
            <w:noWrap/>
            <w:vAlign w:val="center"/>
            <w:hideMark/>
          </w:tcPr>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 + 20% RM</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0.19</w:t>
            </w:r>
          </w:p>
        </w:tc>
        <w:tc>
          <w:tcPr>
            <w:tcW w:w="19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low salinity</w:t>
            </w:r>
          </w:p>
        </w:tc>
      </w:tr>
      <w:tr w:rsidR="00946A5F" w:rsidRPr="00947359" w:rsidTr="00946A5F">
        <w:trPr>
          <w:trHeight w:val="255"/>
          <w:jc w:val="center"/>
        </w:trPr>
        <w:tc>
          <w:tcPr>
            <w:tcW w:w="1489" w:type="pct"/>
            <w:gridSpan w:val="2"/>
            <w:noWrap/>
            <w:vAlign w:val="center"/>
            <w:hideMark/>
          </w:tcPr>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 + 30% RM</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0.27</w:t>
            </w:r>
          </w:p>
        </w:tc>
        <w:tc>
          <w:tcPr>
            <w:tcW w:w="19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moderate salinity</w:t>
            </w:r>
          </w:p>
        </w:tc>
      </w:tr>
      <w:tr w:rsidR="00946A5F" w:rsidRPr="00947359" w:rsidTr="00946A5F">
        <w:trPr>
          <w:trHeight w:val="255"/>
          <w:jc w:val="center"/>
        </w:trPr>
        <w:tc>
          <w:tcPr>
            <w:tcW w:w="1489" w:type="pct"/>
            <w:gridSpan w:val="2"/>
            <w:noWrap/>
            <w:vAlign w:val="center"/>
            <w:hideMark/>
          </w:tcPr>
          <w:p w:rsidR="008D6C37" w:rsidRPr="00947359" w:rsidRDefault="008D6C37" w:rsidP="00946A5F">
            <w:pPr>
              <w:spacing w:line="240" w:lineRule="auto"/>
              <w:ind w:firstLine="0"/>
              <w:jc w:val="center"/>
              <w:rPr>
                <w:bCs/>
                <w:color w:val="000000"/>
                <w:sz w:val="18"/>
                <w:szCs w:val="18"/>
              </w:rPr>
            </w:pPr>
            <w:r w:rsidRPr="00947359">
              <w:rPr>
                <w:bCs/>
                <w:color w:val="000000"/>
                <w:sz w:val="18"/>
                <w:szCs w:val="18"/>
              </w:rPr>
              <w:t>S + 40% RM</w:t>
            </w:r>
          </w:p>
        </w:tc>
        <w:tc>
          <w:tcPr>
            <w:tcW w:w="15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0.34</w:t>
            </w:r>
          </w:p>
        </w:tc>
        <w:tc>
          <w:tcPr>
            <w:tcW w:w="1955" w:type="pct"/>
            <w:gridSpan w:val="2"/>
            <w:noWrap/>
            <w:vAlign w:val="center"/>
            <w:hideMark/>
          </w:tcPr>
          <w:p w:rsidR="008D6C37" w:rsidRPr="00947359" w:rsidRDefault="008D6C37" w:rsidP="00946A5F">
            <w:pPr>
              <w:spacing w:line="240" w:lineRule="auto"/>
              <w:ind w:firstLine="0"/>
              <w:jc w:val="center"/>
              <w:rPr>
                <w:color w:val="000000"/>
                <w:sz w:val="18"/>
                <w:szCs w:val="18"/>
              </w:rPr>
            </w:pPr>
            <w:r w:rsidRPr="00947359">
              <w:rPr>
                <w:color w:val="000000"/>
                <w:sz w:val="18"/>
                <w:szCs w:val="18"/>
              </w:rPr>
              <w:t>moderate salinity</w:t>
            </w:r>
          </w:p>
        </w:tc>
      </w:tr>
    </w:tbl>
    <w:p w:rsidR="00DA57F9" w:rsidRPr="00947359" w:rsidRDefault="008D6C37" w:rsidP="00946A5F">
      <w:pPr>
        <w:ind w:firstLine="0"/>
      </w:pPr>
      <w:r w:rsidRPr="00947359">
        <w:t>* Stefanovits [39]</w:t>
      </w:r>
    </w:p>
    <w:p w:rsidR="00946A5F" w:rsidRDefault="00946A5F" w:rsidP="00946A5F">
      <w:pPr>
        <w:pStyle w:val="Cmsor1"/>
        <w:numPr>
          <w:ilvl w:val="1"/>
          <w:numId w:val="15"/>
        </w:numPr>
        <w:spacing w:line="240" w:lineRule="auto"/>
      </w:pPr>
      <w:r>
        <w:rPr>
          <w:sz w:val="20"/>
          <w:szCs w:val="20"/>
        </w:rPr>
        <w:t>Influence of red mud on soil microorganisms and ecotoxicity</w:t>
      </w:r>
    </w:p>
    <w:p w:rsidR="00946A5F" w:rsidRDefault="00946A5F" w:rsidP="00946A5F">
      <w:r w:rsidRPr="00946A5F">
        <w:t>The characterization of soil microbiological activity and its quality as habitat was based on the determination of bacterial cell concentration in the soil (Figure 1). In the short experimental run (during two months) the concentration of colony forming cells increased compared to the reference soil (R) and untreated soil (S) in case of 10 %, 20 % and 30 % red mud dose. The number of aerobic heterotrophic living cells did not increase at 5 % red mud dose compared to the untreated soil and decreased at 40% red mud dose, however in the latter case the cells adapted to the medium by the second month. The number of microorganisms decreased during the experiment in the treated microcosms and also in the reference soil on the mid-term. Castaldi et al. [40], who treated with red mud acidic soil contaminated with Pb, Zn and Cd, found that red mud had significant short term positive effect on the soil microbial cell number. Lombi et al. [25] also observed an increase in the microbial biomass volume in metal contaminated soil after red mud application. Examining the fluvial sediments in the Marcal river after the Ajka’s red mud spill Klebercz et al. [41] concluded that red mud appears to stimulate aerobic heterotrophic microbial populations, resulting a 10–100 times increase in microbial colonies in the red mud containing samples over reference samples.</w:t>
      </w:r>
    </w:p>
    <w:p w:rsidR="00990381" w:rsidRPr="00952C69" w:rsidRDefault="004820AB" w:rsidP="00952C69">
      <w:pPr>
        <w:widowControl/>
        <w:autoSpaceDE/>
        <w:autoSpaceDN/>
        <w:adjustRightInd/>
        <w:spacing w:after="200" w:line="276" w:lineRule="auto"/>
        <w:ind w:firstLine="0"/>
        <w:jc w:val="center"/>
        <w:rPr>
          <w:rFonts w:ascii="Calibri" w:eastAsia="Calibri" w:hAnsi="Calibri"/>
          <w:sz w:val="22"/>
          <w:szCs w:val="22"/>
          <w:lang w:val="hu-HU" w:eastAsia="en-US"/>
        </w:rPr>
      </w:pPr>
      <w:r>
        <w:rPr>
          <w:rFonts w:ascii="Calibri" w:eastAsia="Calibri" w:hAnsi="Calibri"/>
          <w:noProof/>
          <w:sz w:val="22"/>
          <w:szCs w:val="22"/>
          <w:lang w:val="hu-HU"/>
        </w:rPr>
        <w:drawing>
          <wp:inline distT="0" distB="0" distL="0" distR="0">
            <wp:extent cx="3483033" cy="2169622"/>
            <wp:effectExtent l="0" t="0" r="0" b="0"/>
            <wp:docPr id="1"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52C69">
        <w:rPr>
          <w:b/>
          <w:i/>
          <w:iCs/>
          <w:noProof/>
          <w:sz w:val="16"/>
          <w:szCs w:val="16"/>
          <w:lang w:val="en-US"/>
        </w:rPr>
        <w:t>Fig</w:t>
      </w:r>
      <w:r w:rsidR="00952C69" w:rsidRPr="00952C69">
        <w:rPr>
          <w:b/>
          <w:i/>
          <w:iCs/>
          <w:noProof/>
          <w:sz w:val="16"/>
          <w:szCs w:val="16"/>
          <w:lang w:val="en-US"/>
        </w:rPr>
        <w:t>.</w:t>
      </w:r>
      <w:r w:rsidR="00952C69">
        <w:rPr>
          <w:b/>
          <w:i/>
          <w:iCs/>
          <w:noProof/>
          <w:sz w:val="16"/>
          <w:szCs w:val="16"/>
          <w:lang w:val="en-US"/>
        </w:rPr>
        <w:t xml:space="preserve"> 1</w:t>
      </w:r>
      <w:r w:rsidR="00952C69" w:rsidRPr="00952C69">
        <w:rPr>
          <w:rFonts w:ascii="Arial" w:eastAsia="Calibri" w:hAnsi="Arial" w:cs="Arial"/>
          <w:lang w:eastAsia="en-US"/>
        </w:rPr>
        <w:t xml:space="preserve"> </w:t>
      </w:r>
      <w:r w:rsidR="00952C69" w:rsidRPr="00952C69">
        <w:rPr>
          <w:iCs/>
          <w:noProof/>
          <w:sz w:val="16"/>
          <w:szCs w:val="16"/>
          <w:lang w:val="en-US"/>
        </w:rPr>
        <w:t>The number of colonies formed by aerobic heterotrophic cells (Colony Forming Unit - CFU) in 1 g soil. Values followed by the same letter indicate no significant differences at the level of p=0.05 at each sampling. LSD, Least significant difference.  (S: untreated soil, R: reference soil, RM: red mud)</w:t>
      </w:r>
    </w:p>
    <w:p w:rsidR="0014789F" w:rsidRDefault="0014789F" w:rsidP="00946A5F"/>
    <w:p w:rsidR="0014789F" w:rsidRDefault="00946A5F" w:rsidP="00946A5F">
      <w:r w:rsidRPr="00946A5F">
        <w:t xml:space="preserve">The results of the </w:t>
      </w:r>
      <w:r w:rsidRPr="00201660">
        <w:rPr>
          <w:i/>
        </w:rPr>
        <w:t>Aliivibrio fischeri</w:t>
      </w:r>
      <w:r w:rsidRPr="00946A5F">
        <w:t xml:space="preserve"> bioluminescence inhibition test are shown in Figure 2, where the smaller ED20 values (Effective Dose causing 20 % inhibition) mean higher toxicity. The reference soil was used as control for the calculation of the inhibition percentage. The untreated soil was not toxic therefore no ED20 values could be determined, as the bioluminescence inhibition was below 10 % at the highest soil dose. Based on the ED20 values the soil containing 5 % red mud was the least toxic of all. The inhibition in Cu equivalent (ΣCu20) was determined based on the ED20 values to ensure the comparability of data and it showed that the toxicity was very high at above 5 % red mud treatment. The Cu equivalent 20 inhibition at 5 % red mud dose was 1238 mg Cu kg−1 soil in the first month (very toxic), 144 in the second (slightly toxic) and 8 mg Cu kg−1 soil in the eighth month (non toxic). The borderline of the tolerable harmful effect on the testorganism is shown in Figure 2. </w:t>
      </w:r>
    </w:p>
    <w:p w:rsidR="0014789F" w:rsidRDefault="00946A5F" w:rsidP="00946A5F">
      <w:r w:rsidRPr="00946A5F">
        <w:t xml:space="preserve">The inhibiting effect of the 5 % red mud dose shows a decreasing trend during the 8 months of the experiment: very toxic during the first month and non-toxic by the eighth month. Within the 20–40 % red mud dose range the samples showed approximately the same toxicity during the experiment. </w:t>
      </w:r>
    </w:p>
    <w:p w:rsidR="00946A5F" w:rsidRPr="00946A5F" w:rsidRDefault="00946A5F" w:rsidP="00946A5F">
      <w:r w:rsidRPr="00946A5F">
        <w:t xml:space="preserve">According to the experiments performed by Rékási et al. [30], the bioluminescence inhibition did not change significantly after the red mud treatment of the soils, but the untreated alkaline red mud was toxic to </w:t>
      </w:r>
      <w:r w:rsidRPr="00201660">
        <w:rPr>
          <w:i/>
        </w:rPr>
        <w:t>Aliivibrio fischeri</w:t>
      </w:r>
      <w:r w:rsidRPr="00946A5F">
        <w:t>.</w:t>
      </w:r>
    </w:p>
    <w:p w:rsidR="00952C69" w:rsidRPr="00952C69" w:rsidRDefault="002B67DF" w:rsidP="00952C69">
      <w:pPr>
        <w:widowControl/>
        <w:autoSpaceDE/>
        <w:autoSpaceDN/>
        <w:adjustRightInd/>
        <w:spacing w:before="120" w:after="320" w:line="276" w:lineRule="auto"/>
        <w:ind w:firstLine="0"/>
        <w:jc w:val="center"/>
        <w:rPr>
          <w:iCs/>
          <w:noProof/>
          <w:sz w:val="16"/>
          <w:szCs w:val="16"/>
          <w:lang w:val="en-US"/>
        </w:rPr>
      </w:pPr>
      <w:r w:rsidRPr="002B67DF">
        <w:rPr>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pt;margin-top:6.2pt;width:247.55pt;height:185.75pt;z-index:251658240">
            <v:imagedata r:id="rId13" o:title=""/>
            <w10:wrap type="square"/>
          </v:shape>
          <o:OLEObject Type="Embed" ProgID="STATISTICA.Graph" ShapeID="_x0000_s1031" DrawAspect="Content" ObjectID="_1478545938" r:id="rId14">
            <o:FieldCodes>\s</o:FieldCodes>
          </o:OLEObject>
        </w:pict>
      </w:r>
      <w:r w:rsidR="00952C69" w:rsidRPr="00952C69">
        <w:rPr>
          <w:b/>
          <w:i/>
          <w:iCs/>
          <w:noProof/>
          <w:sz w:val="16"/>
          <w:szCs w:val="16"/>
          <w:lang w:val="en-US"/>
        </w:rPr>
        <w:t>Fig. 2</w:t>
      </w:r>
      <w:r w:rsidR="00952C69" w:rsidRPr="00F004EA">
        <w:rPr>
          <w:rFonts w:ascii="Arial" w:hAnsi="Arial" w:cs="Arial"/>
        </w:rPr>
        <w:t xml:space="preserve"> </w:t>
      </w:r>
      <w:r w:rsidR="00952C69" w:rsidRPr="00952C69">
        <w:rPr>
          <w:iCs/>
          <w:noProof/>
          <w:sz w:val="16"/>
          <w:szCs w:val="16"/>
          <w:lang w:val="en-US"/>
        </w:rPr>
        <w:t xml:space="preserve">ED20 (Effect Dose resulting in 20 % inhibition of luminescence) by </w:t>
      </w:r>
      <w:r w:rsidR="00952C69" w:rsidRPr="00201660">
        <w:rPr>
          <w:i/>
          <w:iCs/>
          <w:noProof/>
          <w:sz w:val="16"/>
          <w:szCs w:val="16"/>
          <w:lang w:val="en-US"/>
        </w:rPr>
        <w:t>Aliivibrio fischeri</w:t>
      </w:r>
      <w:r w:rsidR="00952C69" w:rsidRPr="00952C69">
        <w:rPr>
          <w:iCs/>
          <w:noProof/>
          <w:sz w:val="16"/>
          <w:szCs w:val="16"/>
          <w:lang w:val="en-US"/>
        </w:rPr>
        <w:t xml:space="preserve"> bioluminescence inhibition test. Borderline indicates the tolerable adverse effect on the testorganism.</w:t>
      </w:r>
    </w:p>
    <w:p w:rsidR="00952C69" w:rsidRPr="00952C69" w:rsidRDefault="004820AB" w:rsidP="00952C69">
      <w:pPr>
        <w:widowControl/>
        <w:autoSpaceDE/>
        <w:autoSpaceDN/>
        <w:adjustRightInd/>
        <w:spacing w:after="200" w:line="276" w:lineRule="auto"/>
        <w:ind w:firstLine="0"/>
        <w:jc w:val="left"/>
        <w:rPr>
          <w:rFonts w:ascii="Calibri" w:eastAsia="Calibri" w:hAnsi="Calibri"/>
          <w:sz w:val="22"/>
          <w:szCs w:val="22"/>
          <w:lang w:val="hu-HU" w:eastAsia="en-US"/>
        </w:rPr>
      </w:pPr>
      <w:r>
        <w:rPr>
          <w:rFonts w:ascii="Calibri" w:eastAsia="Calibri" w:hAnsi="Calibri"/>
          <w:noProof/>
          <w:sz w:val="22"/>
          <w:szCs w:val="22"/>
          <w:lang w:val="hu-HU"/>
        </w:rPr>
        <w:drawing>
          <wp:inline distT="0" distB="0" distL="0" distR="0">
            <wp:extent cx="3096895" cy="2181936"/>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2C69" w:rsidRPr="00952C69" w:rsidRDefault="00952C69" w:rsidP="00952C69">
      <w:pPr>
        <w:widowControl/>
        <w:autoSpaceDE/>
        <w:autoSpaceDN/>
        <w:adjustRightInd/>
        <w:spacing w:before="120" w:after="320" w:line="240" w:lineRule="auto"/>
        <w:ind w:firstLine="0"/>
        <w:jc w:val="center"/>
        <w:rPr>
          <w:rFonts w:ascii="Arial" w:eastAsia="Calibri" w:hAnsi="Arial" w:cs="Arial"/>
          <w:b/>
          <w:bCs/>
          <w:lang w:eastAsia="en-US"/>
        </w:rPr>
      </w:pPr>
      <w:r>
        <w:rPr>
          <w:b/>
          <w:i/>
          <w:iCs/>
          <w:noProof/>
          <w:sz w:val="16"/>
          <w:szCs w:val="16"/>
          <w:lang w:val="en-US"/>
        </w:rPr>
        <w:t>Fig.</w:t>
      </w:r>
      <w:r w:rsidRPr="00952C69">
        <w:rPr>
          <w:b/>
          <w:i/>
          <w:iCs/>
          <w:noProof/>
          <w:sz w:val="16"/>
          <w:szCs w:val="16"/>
          <w:lang w:val="en-US"/>
        </w:rPr>
        <w:t xml:space="preserve"> 3</w:t>
      </w:r>
      <w:r w:rsidRPr="00952C69">
        <w:rPr>
          <w:rFonts w:ascii="Arial" w:eastAsia="Calibri" w:hAnsi="Arial" w:cs="Arial"/>
          <w:b/>
          <w:bCs/>
          <w:lang w:eastAsia="en-US"/>
        </w:rPr>
        <w:t xml:space="preserve"> </w:t>
      </w:r>
      <w:r w:rsidRPr="00201660">
        <w:rPr>
          <w:i/>
          <w:iCs/>
          <w:noProof/>
          <w:sz w:val="16"/>
          <w:szCs w:val="16"/>
          <w:lang w:val="en-US"/>
        </w:rPr>
        <w:t>Sinapis alba</w:t>
      </w:r>
      <w:r w:rsidRPr="00952C69">
        <w:rPr>
          <w:iCs/>
          <w:noProof/>
          <w:sz w:val="16"/>
          <w:szCs w:val="16"/>
          <w:lang w:val="en-US"/>
        </w:rPr>
        <w:t xml:space="preserve"> root length. Values followed by the same letter indicate no significant differences at the level of p=0.05 at each sampling. LSD, Least significant difference.  (S: untreated soil, R: reference soil, RM: red mud)</w:t>
      </w:r>
    </w:p>
    <w:p w:rsidR="00946A5F" w:rsidRDefault="00990381" w:rsidP="00B30696">
      <w:r w:rsidRPr="00990381">
        <w:t xml:space="preserve">The </w:t>
      </w:r>
      <w:r w:rsidRPr="00201660">
        <w:rPr>
          <w:i/>
        </w:rPr>
        <w:t>Sinapis alba</w:t>
      </w:r>
      <w:r w:rsidRPr="00990381">
        <w:t xml:space="preserve"> root length is shown in Figure 3. With the increase of the red mud loading in most cases we found significant decrease in the root length as compared to the untreated soil (0 % red mud). At 5 % and 10 % red mud dose the root length decreased significantly during the first and the second month, but after eight months of incubation the difference disappeared. Ruyters et al. [31] found that low red mud doses (&lt;1 %) stimulated the barley root elongation and barley plant yield for unknown reasons, but they also found significant decrease at 4.9 % and 16.9 % red mud doses in barley plant yield. In our experiment there was no difference between 5 % and 10 % red mud doses, neither between 20 %; 30 % and 40 % doses (except for the first month, where 30 % and 40 % red mud dose caused 100% inhibition in root growth: root length 0.0 mm). These results are similar to those of the </w:t>
      </w:r>
      <w:r w:rsidRPr="00201660">
        <w:rPr>
          <w:i/>
        </w:rPr>
        <w:t>Sinapis alba</w:t>
      </w:r>
      <w:r w:rsidRPr="00990381">
        <w:t xml:space="preserve"> shoot lengths (Figure 4). </w:t>
      </w:r>
      <w:r w:rsidR="00B30696">
        <w:br w:type="column"/>
      </w:r>
      <w:r w:rsidRPr="00990381">
        <w:t xml:space="preserve">However, there was no significant difference in shoot growth of the untreated and of the 5% red mud treated soil in the second and the eighth months. The 10 % red mud treatment resulted in a significant decrease in shoot growth at each sampling time compared to the untreated. At 20 %, 30 % and 40 % red mud dose there was no significant difference in the effect of the above doses duringthe second and the eighth months. At 30 % and 40 % red mud addition into the soil the </w:t>
      </w:r>
      <w:r w:rsidRPr="00201660">
        <w:rPr>
          <w:i/>
        </w:rPr>
        <w:t>Sinapis alba</w:t>
      </w:r>
      <w:r w:rsidRPr="00990381">
        <w:t xml:space="preserve"> root and shoot length decreased drastically during the first month but it had improved in time. However, 20 %, 30 % and 40 % red mud dose resulted in significantly smaller root and shoot growth, compared to the untreated soil, and to the 5 % and the 10 % red mud treatment. Assessing both the root and the shoot growth results we concluded that 5 % red mud application did not have any significant harmful effect on the soil on the mid-term. Lombi et al. [25] reported positive effect of red mud on crops and they found that red mud addition reduced the toxic effect of Cd, Cu, Ni, Pb and Zn in the contaminated soil. Rékási et al. [30] also stated that the length of 3-days-old </w:t>
      </w:r>
      <w:r w:rsidRPr="00201660">
        <w:rPr>
          <w:i/>
        </w:rPr>
        <w:t>Sinapis alba</w:t>
      </w:r>
      <w:r w:rsidRPr="00990381">
        <w:t xml:space="preserve"> roots and shoots increased by 131 % and 64 % after 120 days.</w:t>
      </w:r>
    </w:p>
    <w:p w:rsidR="00952C69" w:rsidRPr="00952C69" w:rsidRDefault="004820AB" w:rsidP="00952C69">
      <w:pPr>
        <w:widowControl/>
        <w:autoSpaceDE/>
        <w:autoSpaceDN/>
        <w:adjustRightInd/>
        <w:spacing w:after="200" w:line="276" w:lineRule="auto"/>
        <w:ind w:firstLine="0"/>
        <w:jc w:val="left"/>
        <w:rPr>
          <w:rFonts w:ascii="Calibri" w:eastAsia="Calibri" w:hAnsi="Calibri"/>
          <w:sz w:val="22"/>
          <w:szCs w:val="22"/>
          <w:lang w:val="hu-HU" w:eastAsia="en-US"/>
        </w:rPr>
      </w:pPr>
      <w:r>
        <w:rPr>
          <w:rFonts w:ascii="Calibri" w:eastAsia="Calibri" w:hAnsi="Calibri"/>
          <w:noProof/>
          <w:sz w:val="22"/>
          <w:szCs w:val="22"/>
          <w:lang w:val="hu-HU"/>
        </w:rPr>
        <w:drawing>
          <wp:inline distT="0" distB="0" distL="0" distR="0">
            <wp:extent cx="3252470" cy="2043592"/>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0381" w:rsidRPr="00952C69" w:rsidRDefault="00952C69" w:rsidP="00952C69">
      <w:pPr>
        <w:widowControl/>
        <w:autoSpaceDE/>
        <w:autoSpaceDN/>
        <w:adjustRightInd/>
        <w:spacing w:before="120" w:after="320" w:line="240" w:lineRule="auto"/>
        <w:ind w:firstLine="0"/>
        <w:jc w:val="center"/>
        <w:rPr>
          <w:rFonts w:ascii="Arial" w:eastAsia="Calibri" w:hAnsi="Arial" w:cs="Arial"/>
          <w:b/>
          <w:bCs/>
          <w:lang w:eastAsia="en-US"/>
        </w:rPr>
      </w:pPr>
      <w:r>
        <w:rPr>
          <w:b/>
          <w:i/>
          <w:iCs/>
          <w:noProof/>
          <w:sz w:val="16"/>
          <w:szCs w:val="16"/>
          <w:lang w:val="en-US"/>
        </w:rPr>
        <w:t>Fig.</w:t>
      </w:r>
      <w:r w:rsidRPr="00952C69">
        <w:rPr>
          <w:b/>
          <w:i/>
          <w:iCs/>
          <w:noProof/>
          <w:sz w:val="16"/>
          <w:szCs w:val="16"/>
          <w:lang w:val="en-US"/>
        </w:rPr>
        <w:t xml:space="preserve"> </w:t>
      </w:r>
      <w:r>
        <w:rPr>
          <w:b/>
          <w:i/>
          <w:iCs/>
          <w:noProof/>
          <w:sz w:val="16"/>
          <w:szCs w:val="16"/>
          <w:lang w:val="en-US"/>
        </w:rPr>
        <w:t>4</w:t>
      </w:r>
      <w:r w:rsidRPr="00952C69">
        <w:rPr>
          <w:rFonts w:ascii="Arial" w:eastAsia="Calibri" w:hAnsi="Arial" w:cs="Arial"/>
          <w:b/>
          <w:bCs/>
          <w:lang w:eastAsia="en-US"/>
        </w:rPr>
        <w:t xml:space="preserve"> </w:t>
      </w:r>
      <w:r w:rsidRPr="00201660">
        <w:rPr>
          <w:i/>
          <w:iCs/>
          <w:noProof/>
          <w:sz w:val="16"/>
          <w:szCs w:val="16"/>
          <w:lang w:val="en-US"/>
        </w:rPr>
        <w:t>Sinapis alba</w:t>
      </w:r>
      <w:r w:rsidRPr="00952C69">
        <w:rPr>
          <w:iCs/>
          <w:noProof/>
          <w:sz w:val="16"/>
          <w:szCs w:val="16"/>
          <w:lang w:val="en-US"/>
        </w:rPr>
        <w:t xml:space="preserve"> shoot length during the experiments. Values followed by the same letters, indicate no significant differences at the level of p=0.05 at each sampling. LSD, Least significant difference.  (S: untreated soil, R: reference soil, RM: red mud)</w:t>
      </w:r>
    </w:p>
    <w:p w:rsidR="00990381" w:rsidRDefault="00990381" w:rsidP="00990381">
      <w:r w:rsidRPr="00990381">
        <w:t xml:space="preserve">The </w:t>
      </w:r>
      <w:r w:rsidRPr="00201660">
        <w:rPr>
          <w:i/>
        </w:rPr>
        <w:t>Folsomia candida</w:t>
      </w:r>
      <w:r w:rsidRPr="00990381">
        <w:t xml:space="preserve"> (</w:t>
      </w:r>
      <w:r w:rsidRPr="00201660">
        <w:t>Collembola</w:t>
      </w:r>
      <w:r w:rsidRPr="00990381">
        <w:t>) lethality test (Figure 5.) results showed that the red mud loading of the soil did not cause any inhibition in the testorganism compared to the untreated soil except for 40 % red mud loading. At 40 % red mud loading of the soil the number of surviving animals decreased with 18% (in the 1st month), 50 % (in the 2nd month) and 30 % (in the 8th month). Rékási et al. [30] found that the mortality was 7 % in the top soil layer (0–30 cm) and 13.3 % in the 30–50 cm layer after 120 days.</w:t>
      </w:r>
    </w:p>
    <w:p w:rsidR="00952C69" w:rsidRPr="00952C69" w:rsidRDefault="004820AB" w:rsidP="00952C69">
      <w:pPr>
        <w:widowControl/>
        <w:autoSpaceDE/>
        <w:autoSpaceDN/>
        <w:adjustRightInd/>
        <w:spacing w:after="200" w:line="276" w:lineRule="auto"/>
        <w:ind w:firstLine="0"/>
        <w:jc w:val="center"/>
        <w:rPr>
          <w:rFonts w:ascii="Calibri" w:eastAsia="Calibri" w:hAnsi="Calibri"/>
          <w:sz w:val="22"/>
          <w:szCs w:val="22"/>
          <w:lang w:val="hu-HU" w:eastAsia="en-US"/>
        </w:rPr>
      </w:pPr>
      <w:r>
        <w:rPr>
          <w:rFonts w:ascii="Calibri" w:eastAsia="Calibri" w:hAnsi="Calibri"/>
          <w:noProof/>
          <w:sz w:val="22"/>
          <w:szCs w:val="22"/>
          <w:lang w:val="hu-HU"/>
        </w:rPr>
        <w:drawing>
          <wp:inline distT="0" distB="0" distL="0" distR="0">
            <wp:extent cx="3175462" cy="2310938"/>
            <wp:effectExtent l="0" t="0" r="0" b="0"/>
            <wp:docPr id="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0381" w:rsidRPr="00952C69" w:rsidRDefault="00952C69" w:rsidP="00952C69">
      <w:pPr>
        <w:widowControl/>
        <w:autoSpaceDE/>
        <w:autoSpaceDN/>
        <w:adjustRightInd/>
        <w:spacing w:after="120" w:line="240" w:lineRule="auto"/>
        <w:ind w:firstLine="0"/>
        <w:jc w:val="center"/>
        <w:rPr>
          <w:rFonts w:ascii="Arial" w:eastAsia="Calibri" w:hAnsi="Arial" w:cs="Arial"/>
          <w:bCs/>
          <w:lang w:val="en-US" w:eastAsia="en-US"/>
        </w:rPr>
      </w:pPr>
      <w:r w:rsidRPr="00952C69">
        <w:rPr>
          <w:b/>
          <w:i/>
          <w:iCs/>
          <w:noProof/>
          <w:sz w:val="16"/>
          <w:szCs w:val="16"/>
          <w:lang w:val="en-US"/>
        </w:rPr>
        <w:t>Fig. 5</w:t>
      </w:r>
      <w:r w:rsidRPr="00952C69">
        <w:rPr>
          <w:rFonts w:ascii="Arial" w:eastAsia="Calibri" w:hAnsi="Arial" w:cs="Arial"/>
          <w:bCs/>
          <w:i/>
          <w:lang w:val="hu-HU" w:eastAsia="en-US"/>
        </w:rPr>
        <w:t xml:space="preserve"> </w:t>
      </w:r>
      <w:r w:rsidRPr="00283937">
        <w:rPr>
          <w:rFonts w:eastAsia="Calibri"/>
          <w:bCs/>
          <w:iCs/>
          <w:lang w:val="en-US" w:eastAsia="en-US"/>
        </w:rPr>
        <w:t>N</w:t>
      </w:r>
      <w:r w:rsidRPr="00952C69">
        <w:rPr>
          <w:iCs/>
          <w:noProof/>
          <w:sz w:val="16"/>
          <w:szCs w:val="16"/>
          <w:lang w:val="en-US"/>
        </w:rPr>
        <w:t>umber of surviving animals (</w:t>
      </w:r>
      <w:r w:rsidRPr="00201660">
        <w:rPr>
          <w:i/>
          <w:iCs/>
          <w:noProof/>
          <w:sz w:val="16"/>
          <w:szCs w:val="16"/>
          <w:lang w:val="en-US"/>
        </w:rPr>
        <w:t>Folsomia candida</w:t>
      </w:r>
      <w:r w:rsidRPr="00952C69">
        <w:rPr>
          <w:iCs/>
          <w:noProof/>
          <w:sz w:val="16"/>
          <w:szCs w:val="16"/>
          <w:lang w:val="en-US"/>
        </w:rPr>
        <w:t>). Values followed by the same letters, indicate no significant differences at the level of p=0.05 at each sampling. LSD, Least significant difference.  (S: untreated soil, R: reference soil, RM: red mud)</w:t>
      </w:r>
    </w:p>
    <w:p w:rsidR="00990381" w:rsidRPr="00990381" w:rsidRDefault="00990381" w:rsidP="00990381">
      <w:r w:rsidRPr="00990381">
        <w:t>Winkler [42] have analysed the collembolan community structure and species abundance distributions in the red mud polluted areas in Western Hungary. Their study demonstrated that there was no adverse effect in Collembola abundance on the soil fauna revitalisation and recolonisation.</w:t>
      </w:r>
    </w:p>
    <w:p w:rsidR="00946A5F" w:rsidRDefault="00990381" w:rsidP="00990381">
      <w:r w:rsidRPr="00990381">
        <w:t>Our mid-term laboratory study applied a complex monitoring methodology including biological-, toxicological- and analytical measurement methods. Based on the results we found conformity between the test methods. The toxic metal analysis showed that 5% red mud in soil resulted still an acceptable metal content. The soil toxicity measurements and the soil microflora activity analysis proved that 5 % red mud does not cause any adverse effects on the soil as habitat.</w:t>
      </w:r>
    </w:p>
    <w:p w:rsidR="00990381" w:rsidRPr="00990381" w:rsidRDefault="00990381" w:rsidP="00990381">
      <w:pPr>
        <w:pStyle w:val="Cmsor1"/>
        <w:numPr>
          <w:ilvl w:val="0"/>
          <w:numId w:val="15"/>
        </w:numPr>
      </w:pPr>
      <w:r w:rsidRPr="00990381">
        <w:t>Conclusion</w:t>
      </w:r>
    </w:p>
    <w:p w:rsidR="0014789F" w:rsidRDefault="00990381" w:rsidP="00990381">
      <w:r w:rsidRPr="001F6BE6">
        <w:t xml:space="preserve">The effect of different red mud doses on the soil affected by the red mud disaster in </w:t>
      </w:r>
      <w:r>
        <w:t xml:space="preserve">2010 at </w:t>
      </w:r>
      <w:r w:rsidRPr="001F6BE6">
        <w:t>Ajka</w:t>
      </w:r>
      <w:r>
        <w:t xml:space="preserve">, Hungary was modelled in mid-term laboratory </w:t>
      </w:r>
      <w:r w:rsidRPr="001F6BE6">
        <w:t xml:space="preserve">microcosm experiments. The aim of the study was to assess the red </w:t>
      </w:r>
      <w:r w:rsidRPr="003E583F">
        <w:t>mud/soil proportion</w:t>
      </w:r>
      <w:r w:rsidRPr="001F6BE6">
        <w:t xml:space="preserve"> at which the soil as natural habitat is not adversely affected</w:t>
      </w:r>
      <w:r>
        <w:t xml:space="preserve"> </w:t>
      </w:r>
      <w:r w:rsidRPr="00751C69">
        <w:t>in view of its potential utilisation as soil ameliorant</w:t>
      </w:r>
      <w:r w:rsidRPr="001F6BE6">
        <w:t xml:space="preserve">. </w:t>
      </w:r>
      <w:r>
        <w:t>Mixing</w:t>
      </w:r>
      <w:r w:rsidRPr="001F6BE6">
        <w:t xml:space="preserve"> </w:t>
      </w:r>
      <w:r>
        <w:t xml:space="preserve">5 w/w % red </w:t>
      </w:r>
      <w:r w:rsidRPr="001F6BE6">
        <w:t xml:space="preserve">mud into sandy soil from the area affected by the spill has caused an increase in the total amount of As, Cr, Mo, Ni, Pb and Na, and in the water soluble fractions of Mo and Na. However, </w:t>
      </w:r>
      <w:r>
        <w:t xml:space="preserve">at 5 w/w % red mud dose </w:t>
      </w:r>
      <w:r w:rsidRPr="001F6BE6">
        <w:t xml:space="preserve">the total </w:t>
      </w:r>
      <w:r>
        <w:t>metalloid</w:t>
      </w:r>
      <w:r w:rsidRPr="001F6BE6">
        <w:t xml:space="preserve"> amounts </w:t>
      </w:r>
      <w:r>
        <w:t xml:space="preserve">in the soil </w:t>
      </w:r>
      <w:r w:rsidRPr="001F6BE6">
        <w:t xml:space="preserve">did not </w:t>
      </w:r>
      <w:r>
        <w:t>reach</w:t>
      </w:r>
      <w:r w:rsidRPr="001F6BE6">
        <w:t xml:space="preserve"> the Hungarian </w:t>
      </w:r>
      <w:r>
        <w:t xml:space="preserve">quality criteria </w:t>
      </w:r>
      <w:r w:rsidRPr="001F6BE6">
        <w:t>for soil and the soil was classified as low salinity soil. 5</w:t>
      </w:r>
      <w:r>
        <w:t xml:space="preserve"> </w:t>
      </w:r>
      <w:r w:rsidRPr="001F6BE6">
        <w:t>w/w</w:t>
      </w:r>
      <w:r>
        <w:t xml:space="preserve"> </w:t>
      </w:r>
      <w:r w:rsidRPr="001F6BE6">
        <w:t xml:space="preserve">% red mud </w:t>
      </w:r>
      <w:r>
        <w:t xml:space="preserve">loading </w:t>
      </w:r>
      <w:r w:rsidRPr="001F6BE6">
        <w:t>shifted the pH of the moderately alkaline soil to the highly alkaline domain. At 10</w:t>
      </w:r>
      <w:r>
        <w:t xml:space="preserve"> </w:t>
      </w:r>
      <w:r w:rsidRPr="001F6BE6">
        <w:t>w/w</w:t>
      </w:r>
      <w:r>
        <w:t xml:space="preserve"> </w:t>
      </w:r>
      <w:r w:rsidRPr="001F6BE6">
        <w:t xml:space="preserve">% red mud dose in the soil the total As, Cr and Ni concentrations exceeded the Hungarian </w:t>
      </w:r>
      <w:r>
        <w:t>quality criteria</w:t>
      </w:r>
      <w:r w:rsidRPr="001F6BE6">
        <w:t xml:space="preserve"> for soil. </w:t>
      </w:r>
    </w:p>
    <w:p w:rsidR="00946A5F" w:rsidRDefault="00990381" w:rsidP="00990381">
      <w:r w:rsidRPr="001F6BE6">
        <w:t>The ecotoxicological test results showed that 5</w:t>
      </w:r>
      <w:r>
        <w:t xml:space="preserve"> </w:t>
      </w:r>
      <w:r w:rsidRPr="001F6BE6">
        <w:t>w/w</w:t>
      </w:r>
      <w:r>
        <w:t xml:space="preserve"> </w:t>
      </w:r>
      <w:r w:rsidRPr="001F6BE6">
        <w:t xml:space="preserve">% red mud had no significant adverse effect on the </w:t>
      </w:r>
      <w:r w:rsidRPr="00201660">
        <w:rPr>
          <w:i/>
        </w:rPr>
        <w:t>Sinapis alba</w:t>
      </w:r>
      <w:r w:rsidRPr="001F6BE6">
        <w:t xml:space="preserve"> shoot and root</w:t>
      </w:r>
      <w:r>
        <w:t xml:space="preserve"> growth</w:t>
      </w:r>
      <w:r w:rsidRPr="001F6BE6">
        <w:t xml:space="preserve"> and on the </w:t>
      </w:r>
      <w:r w:rsidRPr="00201660">
        <w:rPr>
          <w:i/>
        </w:rPr>
        <w:t>Aliivibrio fischeri</w:t>
      </w:r>
      <w:r w:rsidRPr="001F6BE6">
        <w:t xml:space="preserve"> bioluminescence on the </w:t>
      </w:r>
      <w:r>
        <w:t>mid</w:t>
      </w:r>
      <w:r w:rsidRPr="001F6BE6">
        <w:t xml:space="preserve">-term and neither on the number of living </w:t>
      </w:r>
      <w:r w:rsidRPr="00201660">
        <w:rPr>
          <w:i/>
        </w:rPr>
        <w:t>Folsomia candida</w:t>
      </w:r>
      <w:r w:rsidRPr="00990381">
        <w:t xml:space="preserve">, </w:t>
      </w:r>
      <w:r w:rsidRPr="00BF5FE5">
        <w:t>while at</w:t>
      </w:r>
      <w:r w:rsidRPr="001F6BE6">
        <w:t xml:space="preserve"> more than 10</w:t>
      </w:r>
      <w:r>
        <w:t xml:space="preserve"> </w:t>
      </w:r>
      <w:r w:rsidRPr="001F6BE6">
        <w:t>w/w</w:t>
      </w:r>
      <w:r>
        <w:t xml:space="preserve"> </w:t>
      </w:r>
      <w:r w:rsidRPr="001F6BE6">
        <w:t xml:space="preserve">% red mud dose both </w:t>
      </w:r>
      <w:r w:rsidRPr="00201660">
        <w:rPr>
          <w:i/>
        </w:rPr>
        <w:t>Sinapis alba</w:t>
      </w:r>
      <w:r w:rsidRPr="001F6BE6">
        <w:t xml:space="preserve"> plant growth and the </w:t>
      </w:r>
      <w:r w:rsidRPr="00201660">
        <w:rPr>
          <w:i/>
        </w:rPr>
        <w:t>Aliivibrio fischeri</w:t>
      </w:r>
      <w:r w:rsidRPr="001F6BE6">
        <w:t xml:space="preserve"> luminescence was significantly inhibited. For </w:t>
      </w:r>
      <w:r w:rsidRPr="00201660">
        <w:rPr>
          <w:i/>
        </w:rPr>
        <w:t>Folsomia candida</w:t>
      </w:r>
      <w:r w:rsidRPr="001F6BE6">
        <w:t xml:space="preserve"> only </w:t>
      </w:r>
      <w:r>
        <w:t xml:space="preserve">the </w:t>
      </w:r>
      <w:r w:rsidRPr="001F6BE6">
        <w:t>40</w:t>
      </w:r>
      <w:r>
        <w:t xml:space="preserve"> </w:t>
      </w:r>
      <w:r w:rsidRPr="001F6BE6">
        <w:t>w/w</w:t>
      </w:r>
      <w:r>
        <w:t xml:space="preserve"> </w:t>
      </w:r>
      <w:r w:rsidRPr="001F6BE6">
        <w:t xml:space="preserve">% red mud dose caused significant inhibition. The conclusion of our experiment is that red mud </w:t>
      </w:r>
      <w:r>
        <w:t xml:space="preserve">could </w:t>
      </w:r>
      <w:r w:rsidRPr="001F6BE6">
        <w:t>be mixed at up to 5</w:t>
      </w:r>
      <w:r>
        <w:t xml:space="preserve"> </w:t>
      </w:r>
      <w:r w:rsidRPr="001F6BE6">
        <w:t xml:space="preserve">% into the soil without any </w:t>
      </w:r>
      <w:r>
        <w:t>mid</w:t>
      </w:r>
      <w:r w:rsidRPr="001F6BE6">
        <w:t>-term adverse effect on the soil as natural habitat.</w:t>
      </w:r>
    </w:p>
    <w:p w:rsidR="00946A5F" w:rsidRPr="00990381" w:rsidRDefault="00990381" w:rsidP="00990381">
      <w:pPr>
        <w:pStyle w:val="Heading1nonumbering"/>
      </w:pPr>
      <w:r w:rsidRPr="00055B9A">
        <w:t>References</w:t>
      </w:r>
    </w:p>
    <w:p w:rsidR="00990381" w:rsidRPr="00990381" w:rsidRDefault="00990381" w:rsidP="00990381">
      <w:pPr>
        <w:pStyle w:val="Reference"/>
        <w:tabs>
          <w:tab w:val="clear" w:pos="360"/>
          <w:tab w:val="num" w:pos="426"/>
        </w:tabs>
        <w:ind w:left="425" w:hanging="425"/>
      </w:pPr>
      <w:r w:rsidRPr="00990381">
        <w:t>Power</w:t>
      </w:r>
      <w:r w:rsidR="00F31EA2">
        <w:t>,</w:t>
      </w:r>
      <w:r w:rsidRPr="00990381">
        <w:t xml:space="preserve"> G</w:t>
      </w:r>
      <w:r w:rsidR="00F31EA2">
        <w:t>.</w:t>
      </w:r>
      <w:r w:rsidRPr="00990381">
        <w:t>, Gräfe</w:t>
      </w:r>
      <w:r w:rsidR="00F31EA2">
        <w:t>,</w:t>
      </w:r>
      <w:r w:rsidRPr="00990381">
        <w:t xml:space="preserve"> M</w:t>
      </w:r>
      <w:r w:rsidR="00F31EA2">
        <w:t>.</w:t>
      </w:r>
      <w:r w:rsidRPr="00990381">
        <w:t>, Klauber</w:t>
      </w:r>
      <w:r w:rsidR="00F31EA2">
        <w:t>,</w:t>
      </w:r>
      <w:r w:rsidRPr="00990381">
        <w:t xml:space="preserve"> C</w:t>
      </w:r>
      <w:r w:rsidR="00F31EA2">
        <w:t>.</w:t>
      </w:r>
      <w:r w:rsidRPr="00990381">
        <w:t>, Bauxite residue issues: I. Current management, di</w:t>
      </w:r>
      <w:r w:rsidR="00F31EA2">
        <w:t>sposal and storage practices,</w:t>
      </w:r>
      <w:r w:rsidRPr="00990381">
        <w:t xml:space="preserve"> </w:t>
      </w:r>
      <w:r w:rsidRPr="00F31EA2">
        <w:rPr>
          <w:i/>
        </w:rPr>
        <w:t>Hydrometallurgy</w:t>
      </w:r>
      <w:r w:rsidRPr="00990381">
        <w:t xml:space="preserve"> </w:t>
      </w:r>
      <w:r w:rsidRPr="00F31EA2">
        <w:rPr>
          <w:b/>
        </w:rPr>
        <w:t>108</w:t>
      </w:r>
      <w:r w:rsidRPr="00990381">
        <w:t>(1-2)</w:t>
      </w:r>
      <w:r w:rsidR="00F31EA2">
        <w:t>, pp.</w:t>
      </w:r>
      <w:r w:rsidRPr="00990381">
        <w:t xml:space="preserve"> 33–45</w:t>
      </w:r>
      <w:r w:rsidR="00F31EA2">
        <w:t>. 2011</w:t>
      </w:r>
      <w:r w:rsidRPr="00990381">
        <w:t>.</w:t>
      </w:r>
    </w:p>
    <w:p w:rsidR="00990381" w:rsidRPr="00990381" w:rsidRDefault="00990381" w:rsidP="00990381">
      <w:pPr>
        <w:pStyle w:val="Reference"/>
        <w:tabs>
          <w:tab w:val="clear" w:pos="360"/>
          <w:tab w:val="num" w:pos="426"/>
        </w:tabs>
        <w:ind w:left="425" w:hanging="425"/>
      </w:pPr>
      <w:r w:rsidRPr="00990381">
        <w:t>Gräfe</w:t>
      </w:r>
      <w:r w:rsidR="00F31EA2">
        <w:t>,</w:t>
      </w:r>
      <w:r w:rsidRPr="00990381">
        <w:t xml:space="preserve"> M</w:t>
      </w:r>
      <w:r w:rsidR="00F31EA2">
        <w:t>.</w:t>
      </w:r>
      <w:r w:rsidRPr="00990381">
        <w:t>, Klauber</w:t>
      </w:r>
      <w:r w:rsidR="00F31EA2">
        <w:t>,</w:t>
      </w:r>
      <w:r w:rsidRPr="00990381">
        <w:t xml:space="preserve"> C</w:t>
      </w:r>
      <w:r w:rsidR="00F31EA2">
        <w:t>.</w:t>
      </w:r>
      <w:r w:rsidRPr="00990381">
        <w:t xml:space="preserve">, Bauxite residue issues: IV. Old obstacles and new pathways for in situ bioremediation, </w:t>
      </w:r>
      <w:r w:rsidRPr="00F31EA2">
        <w:rPr>
          <w:i/>
        </w:rPr>
        <w:t>Hydrometallurgy</w:t>
      </w:r>
      <w:r w:rsidRPr="00990381">
        <w:t xml:space="preserve"> </w:t>
      </w:r>
      <w:r w:rsidRPr="00F31EA2">
        <w:rPr>
          <w:b/>
        </w:rPr>
        <w:t>108</w:t>
      </w:r>
      <w:r w:rsidRPr="00990381">
        <w:t>(1-2)</w:t>
      </w:r>
      <w:r w:rsidR="00F31EA2">
        <w:t>,</w:t>
      </w:r>
      <w:r w:rsidRPr="00990381">
        <w:t xml:space="preserve"> </w:t>
      </w:r>
      <w:r w:rsidR="00F31EA2">
        <w:t>pp.</w:t>
      </w:r>
      <w:r w:rsidRPr="00990381">
        <w:t xml:space="preserve"> 46–59.</w:t>
      </w:r>
      <w:r w:rsidR="00F31EA2" w:rsidRPr="00F31EA2">
        <w:t xml:space="preserve"> </w:t>
      </w:r>
      <w:r w:rsidR="00F31EA2" w:rsidRPr="00990381">
        <w:t>2011</w:t>
      </w:r>
      <w:r w:rsidR="00F31EA2">
        <w:t>.</w:t>
      </w:r>
    </w:p>
    <w:p w:rsidR="00990381" w:rsidRPr="00990381" w:rsidRDefault="00990381" w:rsidP="00990381">
      <w:pPr>
        <w:pStyle w:val="Reference"/>
        <w:tabs>
          <w:tab w:val="clear" w:pos="360"/>
          <w:tab w:val="num" w:pos="426"/>
        </w:tabs>
        <w:ind w:left="425" w:hanging="425"/>
      </w:pPr>
      <w:r w:rsidRPr="00990381">
        <w:t>Summers</w:t>
      </w:r>
      <w:r w:rsidR="0038697F">
        <w:t>,</w:t>
      </w:r>
      <w:r w:rsidRPr="00990381">
        <w:t xml:space="preserve"> R</w:t>
      </w:r>
      <w:r w:rsidR="0038697F">
        <w:t>.</w:t>
      </w:r>
      <w:r w:rsidRPr="00990381">
        <w:t>N</w:t>
      </w:r>
      <w:r w:rsidR="0038697F">
        <w:t>.</w:t>
      </w:r>
      <w:r w:rsidRPr="00990381">
        <w:t>, Pech</w:t>
      </w:r>
      <w:r w:rsidR="0038697F">
        <w:t>,</w:t>
      </w:r>
      <w:r w:rsidRPr="00990381">
        <w:t xml:space="preserve"> J</w:t>
      </w:r>
      <w:r w:rsidR="0038697F">
        <w:t>.</w:t>
      </w:r>
      <w:r w:rsidRPr="00990381">
        <w:t>D</w:t>
      </w:r>
      <w:r w:rsidR="0038697F">
        <w:t>.</w:t>
      </w:r>
      <w:r w:rsidRPr="00990381">
        <w:t>, Nutrient and metal content of water, sediment and soils, amended with bauxite residue in the catchment of th</w:t>
      </w:r>
      <w:r w:rsidR="0038697F">
        <w:t>e Peel Inlet and Harvey Estuary,</w:t>
      </w:r>
      <w:r w:rsidRPr="00990381">
        <w:t xml:space="preserve"> Western Australia</w:t>
      </w:r>
      <w:r w:rsidR="00E45C48">
        <w:t>,</w:t>
      </w:r>
      <w:r w:rsidRPr="00990381">
        <w:t xml:space="preserve"> </w:t>
      </w:r>
      <w:r w:rsidR="0038697F">
        <w:rPr>
          <w:i/>
        </w:rPr>
        <w:t>Agric</w:t>
      </w:r>
      <w:r w:rsidRPr="0038697F">
        <w:rPr>
          <w:i/>
        </w:rPr>
        <w:t xml:space="preserve"> Ecosystems Environ</w:t>
      </w:r>
      <w:r w:rsidR="0038697F">
        <w:t xml:space="preserve"> </w:t>
      </w:r>
      <w:r w:rsidR="00E45C48" w:rsidRPr="00E45C48">
        <w:rPr>
          <w:b/>
        </w:rPr>
        <w:t>64</w:t>
      </w:r>
      <w:r w:rsidR="00E45C48">
        <w:t xml:space="preserve">(3), pp. 219-232. </w:t>
      </w:r>
      <w:r w:rsidR="0038697F">
        <w:t>1997.</w:t>
      </w:r>
      <w:r w:rsidRPr="00990381">
        <w:t xml:space="preserve"> DO</w:t>
      </w:r>
      <w:r w:rsidR="00E45C48">
        <w:t>I: 10.1016/S0167-8809(97)00040-6</w:t>
      </w:r>
    </w:p>
    <w:p w:rsidR="00990381" w:rsidRPr="00990381" w:rsidRDefault="00990381" w:rsidP="00990381">
      <w:pPr>
        <w:pStyle w:val="Reference"/>
        <w:tabs>
          <w:tab w:val="clear" w:pos="360"/>
          <w:tab w:val="num" w:pos="426"/>
        </w:tabs>
        <w:ind w:left="425" w:hanging="425"/>
      </w:pPr>
      <w:r w:rsidRPr="00990381">
        <w:t>Liu Y</w:t>
      </w:r>
      <w:r w:rsidR="00E45C48">
        <w:t>.</w:t>
      </w:r>
      <w:r w:rsidRPr="00990381">
        <w:t>, Lin C</w:t>
      </w:r>
      <w:r w:rsidR="00E45C48">
        <w:t>.</w:t>
      </w:r>
      <w:r w:rsidRPr="00990381">
        <w:t>, Wu Y</w:t>
      </w:r>
      <w:r w:rsidR="00E45C48">
        <w:t>.</w:t>
      </w:r>
      <w:r w:rsidRPr="00990381">
        <w:t xml:space="preserve">, Characterization of red mud derived from a combined Bayer Process and bauxite calcination method, </w:t>
      </w:r>
      <w:r w:rsidRPr="00E45C48">
        <w:rPr>
          <w:i/>
        </w:rPr>
        <w:t>J Hazard Mater</w:t>
      </w:r>
      <w:r w:rsidRPr="00990381">
        <w:t xml:space="preserve"> </w:t>
      </w:r>
      <w:r w:rsidRPr="00E45C48">
        <w:rPr>
          <w:b/>
        </w:rPr>
        <w:t>146</w:t>
      </w:r>
      <w:r w:rsidRPr="00990381">
        <w:t>(1-2)</w:t>
      </w:r>
      <w:r w:rsidR="00E45C48">
        <w:t>, pp.</w:t>
      </w:r>
      <w:r w:rsidRPr="00990381">
        <w:t xml:space="preserve"> 255–261.</w:t>
      </w:r>
      <w:r w:rsidR="00E45C48" w:rsidRPr="00E45C48">
        <w:t xml:space="preserve"> </w:t>
      </w:r>
      <w:r w:rsidR="00E45C48" w:rsidRPr="00990381">
        <w:t>2007</w:t>
      </w:r>
      <w:r w:rsidR="00E45C48">
        <w:t>.</w:t>
      </w:r>
    </w:p>
    <w:p w:rsidR="00990381" w:rsidRPr="00990381" w:rsidRDefault="00990381" w:rsidP="00990381">
      <w:pPr>
        <w:pStyle w:val="Reference"/>
        <w:tabs>
          <w:tab w:val="clear" w:pos="360"/>
          <w:tab w:val="num" w:pos="426"/>
        </w:tabs>
        <w:ind w:left="425" w:hanging="425"/>
      </w:pPr>
      <w:r w:rsidRPr="00990381">
        <w:t>Dauvin J</w:t>
      </w:r>
      <w:r w:rsidR="00E45C48">
        <w:t>.</w:t>
      </w:r>
      <w:r w:rsidRPr="00990381">
        <w:t>C</w:t>
      </w:r>
      <w:r w:rsidR="00E45C48">
        <w:t>.</w:t>
      </w:r>
      <w:r w:rsidRPr="00990381">
        <w:t xml:space="preserve">, Towards an impact assessment of bauxite red mud waste on the knowledge of the structure and functions of bathyal ecosystems: The example of the Cassidaigne canyon (north-western Mediterranean Sea), </w:t>
      </w:r>
      <w:r w:rsidRPr="00E45C48">
        <w:rPr>
          <w:i/>
        </w:rPr>
        <w:t>Marine Poll Bull</w:t>
      </w:r>
      <w:r w:rsidRPr="00990381">
        <w:t xml:space="preserve"> </w:t>
      </w:r>
      <w:r w:rsidRPr="00E45C48">
        <w:rPr>
          <w:b/>
        </w:rPr>
        <w:t>60</w:t>
      </w:r>
      <w:r w:rsidRPr="00990381">
        <w:t>(2)</w:t>
      </w:r>
      <w:r w:rsidR="00E45C48">
        <w:t>, pp.</w:t>
      </w:r>
      <w:r w:rsidRPr="00990381">
        <w:t xml:space="preserve"> 197–206.</w:t>
      </w:r>
      <w:r w:rsidR="00E45C48" w:rsidRPr="00E45C48">
        <w:t xml:space="preserve"> </w:t>
      </w:r>
      <w:r w:rsidR="00E45C48" w:rsidRPr="00990381">
        <w:t>2010</w:t>
      </w:r>
      <w:r w:rsidR="00E45C48">
        <w:t>.</w:t>
      </w:r>
    </w:p>
    <w:p w:rsidR="00990381" w:rsidRPr="00990381" w:rsidRDefault="00990381" w:rsidP="00990381">
      <w:pPr>
        <w:pStyle w:val="Reference"/>
        <w:tabs>
          <w:tab w:val="clear" w:pos="360"/>
          <w:tab w:val="num" w:pos="426"/>
        </w:tabs>
        <w:ind w:left="425" w:hanging="425"/>
      </w:pPr>
      <w:r w:rsidRPr="00990381">
        <w:t>Jones B</w:t>
      </w:r>
      <w:r w:rsidR="00E45C48">
        <w:t>.</w:t>
      </w:r>
      <w:r w:rsidRPr="00990381">
        <w:t>E</w:t>
      </w:r>
      <w:r w:rsidR="00E45C48">
        <w:t>.</w:t>
      </w:r>
      <w:r w:rsidRPr="00990381">
        <w:t>H</w:t>
      </w:r>
      <w:r w:rsidR="00E45C48">
        <w:t>.</w:t>
      </w:r>
      <w:r w:rsidRPr="00990381">
        <w:t>, Haynes R</w:t>
      </w:r>
      <w:r w:rsidR="00E45C48">
        <w:t>.</w:t>
      </w:r>
      <w:r w:rsidRPr="00990381">
        <w:t>J</w:t>
      </w:r>
      <w:r w:rsidR="00E45C48">
        <w:t>.</w:t>
      </w:r>
      <w:r w:rsidRPr="00990381">
        <w:t>, Phillips I</w:t>
      </w:r>
      <w:r w:rsidR="00E45C48">
        <w:t>.</w:t>
      </w:r>
      <w:r w:rsidRPr="00990381">
        <w:t>R</w:t>
      </w:r>
      <w:r w:rsidR="00E45C48">
        <w:t>.</w:t>
      </w:r>
      <w:r w:rsidRPr="00990381">
        <w:t xml:space="preserve">, Addition of an organic amendment and/or residue mud to bauxite residue sand in order to improve its properties as a growth medium, </w:t>
      </w:r>
      <w:r w:rsidRPr="00EC485A">
        <w:rPr>
          <w:i/>
        </w:rPr>
        <w:t>J Environ Manage</w:t>
      </w:r>
      <w:r w:rsidR="00EC485A">
        <w:t xml:space="preserve"> </w:t>
      </w:r>
      <w:r w:rsidR="00EC485A" w:rsidRPr="00EC485A">
        <w:rPr>
          <w:b/>
        </w:rPr>
        <w:t>95</w:t>
      </w:r>
      <w:r w:rsidR="00EC485A">
        <w:t>(1), pp.</w:t>
      </w:r>
      <w:r w:rsidRPr="00990381">
        <w:t xml:space="preserve"> 29-38.</w:t>
      </w:r>
      <w:r w:rsidR="00EC485A" w:rsidRPr="00EC485A">
        <w:t xml:space="preserve"> </w:t>
      </w:r>
      <w:r w:rsidR="00EC485A" w:rsidRPr="00990381">
        <w:t>2012</w:t>
      </w:r>
      <w:r w:rsidR="00EC485A">
        <w:t>.</w:t>
      </w:r>
    </w:p>
    <w:p w:rsidR="00990381" w:rsidRPr="00EC485A" w:rsidRDefault="00990381" w:rsidP="00990381">
      <w:pPr>
        <w:pStyle w:val="Reference"/>
        <w:tabs>
          <w:tab w:val="clear" w:pos="360"/>
          <w:tab w:val="num" w:pos="426"/>
        </w:tabs>
        <w:ind w:left="425" w:hanging="425"/>
        <w:rPr>
          <w:lang w:val="de-CH"/>
        </w:rPr>
      </w:pPr>
      <w:r w:rsidRPr="00990381">
        <w:t>Cooling D</w:t>
      </w:r>
      <w:r w:rsidR="00EC485A">
        <w:t>.</w:t>
      </w:r>
      <w:r w:rsidRPr="00990381">
        <w:t>J</w:t>
      </w:r>
      <w:r w:rsidR="00EC485A">
        <w:t>.</w:t>
      </w:r>
      <w:r w:rsidRPr="00990381">
        <w:t>, Developments in the disposal of residue fro</w:t>
      </w:r>
      <w:r w:rsidR="00EC485A">
        <w:t xml:space="preserve">m the alumina refining industry. </w:t>
      </w:r>
      <w:r w:rsidR="00EC485A" w:rsidRPr="00EC485A">
        <w:rPr>
          <w:lang w:val="de-CH"/>
        </w:rPr>
        <w:t>In:</w:t>
      </w:r>
      <w:r w:rsidRPr="00EC485A">
        <w:rPr>
          <w:lang w:val="de-CH"/>
        </w:rPr>
        <w:t xml:space="preserve"> </w:t>
      </w:r>
      <w:r w:rsidRPr="00EC485A">
        <w:rPr>
          <w:i/>
          <w:lang w:val="de-CH"/>
        </w:rPr>
        <w:t>Light Metals</w:t>
      </w:r>
      <w:r w:rsidR="00EC485A">
        <w:rPr>
          <w:lang w:val="de-CH"/>
        </w:rPr>
        <w:t xml:space="preserve"> (Campbell P.G. (Ed)</w:t>
      </w:r>
      <w:r w:rsidRPr="00EC485A">
        <w:rPr>
          <w:lang w:val="de-CH"/>
        </w:rPr>
        <w:t xml:space="preserve">),  </w:t>
      </w:r>
      <w:r w:rsidR="00EC485A" w:rsidRPr="00EC485A">
        <w:rPr>
          <w:lang w:val="de-CH"/>
        </w:rPr>
        <w:t>pp. 49–54</w:t>
      </w:r>
      <w:r w:rsidR="00EC485A">
        <w:rPr>
          <w:lang w:val="de-CH"/>
        </w:rPr>
        <w:t>. TMS, Halifax. 1989</w:t>
      </w:r>
      <w:r w:rsidRPr="00EC485A">
        <w:rPr>
          <w:lang w:val="de-CH"/>
        </w:rPr>
        <w:t>.</w:t>
      </w:r>
    </w:p>
    <w:p w:rsidR="00990381" w:rsidRPr="00952C69" w:rsidRDefault="00990381" w:rsidP="00990381">
      <w:pPr>
        <w:pStyle w:val="Reference"/>
        <w:tabs>
          <w:tab w:val="clear" w:pos="360"/>
          <w:tab w:val="num" w:pos="426"/>
        </w:tabs>
        <w:ind w:left="425" w:hanging="425"/>
        <w:rPr>
          <w:lang w:val="de-CH"/>
        </w:rPr>
      </w:pPr>
      <w:r w:rsidRPr="00952C69">
        <w:rPr>
          <w:lang w:val="de-CH"/>
        </w:rPr>
        <w:t>Riemer H</w:t>
      </w:r>
      <w:r w:rsidR="00EC485A">
        <w:rPr>
          <w:lang w:val="de-CH"/>
        </w:rPr>
        <w:t>.</w:t>
      </w:r>
      <w:r w:rsidRPr="00952C69">
        <w:rPr>
          <w:lang w:val="de-CH"/>
        </w:rPr>
        <w:t>, Oeberg N</w:t>
      </w:r>
      <w:r w:rsidR="00EC485A">
        <w:rPr>
          <w:lang w:val="de-CH"/>
        </w:rPr>
        <w:t>.</w:t>
      </w:r>
      <w:r w:rsidRPr="00952C69">
        <w:rPr>
          <w:lang w:val="de-CH"/>
        </w:rPr>
        <w:t>, Perchthaler H</w:t>
      </w:r>
      <w:r w:rsidR="00EC485A">
        <w:rPr>
          <w:lang w:val="de-CH"/>
        </w:rPr>
        <w:t>.</w:t>
      </w:r>
      <w:r w:rsidRPr="00952C69">
        <w:rPr>
          <w:lang w:val="de-CH"/>
        </w:rPr>
        <w:t>, Murgia P</w:t>
      </w:r>
      <w:r w:rsidR="00EC485A">
        <w:rPr>
          <w:lang w:val="de-CH"/>
        </w:rPr>
        <w:t>.</w:t>
      </w:r>
      <w:r w:rsidRPr="00952C69">
        <w:rPr>
          <w:lang w:val="de-CH"/>
        </w:rPr>
        <w:t>, Noriega M</w:t>
      </w:r>
      <w:r w:rsidR="00EC485A">
        <w:rPr>
          <w:lang w:val="de-CH"/>
        </w:rPr>
        <w:t>.</w:t>
      </w:r>
      <w:r w:rsidRPr="00952C69">
        <w:rPr>
          <w:lang w:val="de-CH"/>
        </w:rPr>
        <w:t xml:space="preserve">, Verfahren zur Entwässerung und Waschung von Rot schlamm, </w:t>
      </w:r>
      <w:r w:rsidRPr="00EC485A">
        <w:rPr>
          <w:i/>
          <w:lang w:val="de-CH"/>
        </w:rPr>
        <w:t>Patentscope</w:t>
      </w:r>
      <w:r w:rsidR="00EC485A">
        <w:rPr>
          <w:lang w:val="de-CH"/>
        </w:rPr>
        <w:t xml:space="preserve"> </w:t>
      </w:r>
      <w:r w:rsidRPr="00952C69">
        <w:rPr>
          <w:lang w:val="de-CH"/>
        </w:rPr>
        <w:t xml:space="preserve"> WO/1996/011737.</w:t>
      </w:r>
      <w:r w:rsidR="00EC485A" w:rsidRPr="00EC485A">
        <w:rPr>
          <w:lang w:val="de-CH"/>
        </w:rPr>
        <w:t xml:space="preserve"> </w:t>
      </w:r>
      <w:r w:rsidR="00EC485A">
        <w:rPr>
          <w:lang w:val="de-CH"/>
        </w:rPr>
        <w:t>1996.</w:t>
      </w:r>
    </w:p>
    <w:p w:rsidR="00990381" w:rsidRPr="00EC485A" w:rsidRDefault="00990381" w:rsidP="00EC485A">
      <w:pPr>
        <w:pStyle w:val="Reference"/>
        <w:tabs>
          <w:tab w:val="clear" w:pos="360"/>
          <w:tab w:val="num" w:pos="426"/>
        </w:tabs>
        <w:ind w:left="425" w:hanging="425"/>
        <w:rPr>
          <w:lang w:val="de-CH"/>
        </w:rPr>
      </w:pPr>
      <w:r w:rsidRPr="00EC485A">
        <w:rPr>
          <w:lang w:val="de-CH"/>
        </w:rPr>
        <w:t>Gruiz K</w:t>
      </w:r>
      <w:r w:rsidR="00EC485A" w:rsidRPr="00EC485A">
        <w:rPr>
          <w:lang w:val="de-CH"/>
        </w:rPr>
        <w:t>.</w:t>
      </w:r>
      <w:r w:rsidRPr="00EC485A">
        <w:rPr>
          <w:lang w:val="de-CH"/>
        </w:rPr>
        <w:t>, Vaszita E</w:t>
      </w:r>
      <w:r w:rsidR="00EC485A" w:rsidRPr="00EC485A">
        <w:rPr>
          <w:lang w:val="de-CH"/>
        </w:rPr>
        <w:t>.</w:t>
      </w:r>
      <w:r w:rsidRPr="00EC485A">
        <w:rPr>
          <w:lang w:val="de-CH"/>
        </w:rPr>
        <w:t>, Feigl V</w:t>
      </w:r>
      <w:r w:rsidR="00EC485A" w:rsidRPr="00EC485A">
        <w:rPr>
          <w:lang w:val="de-CH"/>
        </w:rPr>
        <w:t>.</w:t>
      </w:r>
      <w:r w:rsidRPr="00EC485A">
        <w:rPr>
          <w:lang w:val="de-CH"/>
        </w:rPr>
        <w:t>, Klebercz O</w:t>
      </w:r>
      <w:r w:rsidR="00EC485A" w:rsidRPr="00EC485A">
        <w:rPr>
          <w:lang w:val="de-CH"/>
        </w:rPr>
        <w:t>.</w:t>
      </w:r>
      <w:r w:rsidRPr="00EC485A">
        <w:rPr>
          <w:lang w:val="de-CH"/>
        </w:rPr>
        <w:t>, Ujaczki É</w:t>
      </w:r>
      <w:r w:rsidR="00EC485A" w:rsidRPr="00EC485A">
        <w:rPr>
          <w:lang w:val="de-CH"/>
        </w:rPr>
        <w:t>.</w:t>
      </w:r>
      <w:r w:rsidRPr="00EC485A">
        <w:rPr>
          <w:lang w:val="de-CH"/>
        </w:rPr>
        <w:t>, Anton A</w:t>
      </w:r>
      <w:r w:rsidR="00EC485A" w:rsidRPr="00EC485A">
        <w:rPr>
          <w:lang w:val="de-CH"/>
        </w:rPr>
        <w:t>.</w:t>
      </w:r>
      <w:r w:rsidRPr="00EC485A">
        <w:rPr>
          <w:lang w:val="de-CH"/>
        </w:rPr>
        <w:t xml:space="preserve">, Environmental risk assessment of red mud contaminated soil in Hungary, </w:t>
      </w:r>
      <w:r w:rsidRPr="00EC485A">
        <w:rPr>
          <w:i/>
          <w:lang w:val="de-CH"/>
        </w:rPr>
        <w:t>Proceedings Aquaconsoil 2013</w:t>
      </w:r>
      <w:r w:rsidRPr="00EC485A">
        <w:rPr>
          <w:lang w:val="de-CH"/>
        </w:rPr>
        <w:t>, Theme C: Assess</w:t>
      </w:r>
      <w:r w:rsidR="00EC485A" w:rsidRPr="00EC485A">
        <w:rPr>
          <w:lang w:val="de-CH"/>
        </w:rPr>
        <w:t>ment and monitoring, paper 2292. 2013.</w:t>
      </w:r>
      <w:r w:rsidRPr="00EC485A">
        <w:rPr>
          <w:lang w:val="de-CH"/>
        </w:rPr>
        <w:t xml:space="preserve"> http://www.aquaconsoil.org/Previous/AquaConSoil</w:t>
      </w:r>
      <w:r w:rsidR="00EC485A" w:rsidRPr="00EC485A">
        <w:rPr>
          <w:lang w:val="de-CH"/>
        </w:rPr>
        <w:t xml:space="preserve">2013/Proceedings.html. </w:t>
      </w:r>
      <w:r w:rsidRPr="00EC485A">
        <w:rPr>
          <w:lang w:val="de-CH"/>
        </w:rPr>
        <w:t>29</w:t>
      </w:r>
      <w:r w:rsidR="00EC485A" w:rsidRPr="00EC485A">
        <w:rPr>
          <w:lang w:val="de-CH"/>
        </w:rPr>
        <w:t>. 05.</w:t>
      </w:r>
      <w:r w:rsidRPr="00EC485A">
        <w:rPr>
          <w:lang w:val="de-CH"/>
        </w:rPr>
        <w:t xml:space="preserve"> 2014. </w:t>
      </w:r>
    </w:p>
    <w:p w:rsidR="00990381" w:rsidRPr="00990381" w:rsidRDefault="00990381" w:rsidP="00990381">
      <w:pPr>
        <w:pStyle w:val="Reference"/>
        <w:tabs>
          <w:tab w:val="clear" w:pos="360"/>
          <w:tab w:val="num" w:pos="426"/>
        </w:tabs>
        <w:ind w:left="425" w:hanging="425"/>
      </w:pPr>
      <w:r w:rsidRPr="00EC485A">
        <w:t>Fügedi U</w:t>
      </w:r>
      <w:r w:rsidR="00EC485A" w:rsidRPr="00EC485A">
        <w:t>.</w:t>
      </w:r>
      <w:r w:rsidRPr="00EC485A">
        <w:t>, Szentpétery I</w:t>
      </w:r>
      <w:r w:rsidR="00EC485A">
        <w:t>.</w:t>
      </w:r>
      <w:r w:rsidRPr="00EC485A">
        <w:t>, Kalmár J</w:t>
      </w:r>
      <w:r w:rsidR="00EC485A">
        <w:t>.</w:t>
      </w:r>
      <w:r w:rsidRPr="00EC485A">
        <w:t>, Kovács-Pálffy P</w:t>
      </w:r>
      <w:r w:rsidR="00EC485A">
        <w:t>.</w:t>
      </w:r>
      <w:r w:rsidRPr="00EC485A">
        <w:t>, Kónya P</w:t>
      </w:r>
      <w:r w:rsidR="00EC485A">
        <w:t>.</w:t>
      </w:r>
      <w:r w:rsidRPr="00EC485A">
        <w:t>, Vatai J</w:t>
      </w:r>
      <w:r w:rsidR="00EC485A">
        <w:t>.</w:t>
      </w:r>
      <w:r w:rsidRPr="00EC485A">
        <w:t xml:space="preserve">, Geochemical and mineralogical processes in red mud dam of </w:t>
      </w:r>
      <w:r w:rsidRPr="00990381">
        <w:t xml:space="preserve">Kolontár, </w:t>
      </w:r>
      <w:r w:rsidRPr="00EC485A">
        <w:rPr>
          <w:i/>
        </w:rPr>
        <w:t>Conference Proceedings</w:t>
      </w:r>
      <w:r w:rsidRPr="00990381">
        <w:t>, Conference on red mud (In Hungarian), Budapest: Hungarian Academy of Sciences Subcommittee of Environmental Geochemistry.</w:t>
      </w:r>
      <w:r w:rsidR="00EC485A" w:rsidRPr="00EC485A">
        <w:t xml:space="preserve"> </w:t>
      </w:r>
      <w:r w:rsidR="00EC485A" w:rsidRPr="00990381">
        <w:t>2011</w:t>
      </w:r>
      <w:r w:rsidR="00EC485A">
        <w:t>.</w:t>
      </w:r>
    </w:p>
    <w:p w:rsidR="00990381" w:rsidRPr="00990381" w:rsidRDefault="00990381" w:rsidP="00990381">
      <w:pPr>
        <w:pStyle w:val="Reference"/>
        <w:tabs>
          <w:tab w:val="clear" w:pos="360"/>
          <w:tab w:val="num" w:pos="426"/>
        </w:tabs>
        <w:ind w:left="425" w:hanging="425"/>
      </w:pPr>
      <w:r w:rsidRPr="00990381">
        <w:t>Mayes W</w:t>
      </w:r>
      <w:r w:rsidR="00EC485A">
        <w:t>.</w:t>
      </w:r>
      <w:r w:rsidRPr="00990381">
        <w:t>M</w:t>
      </w:r>
      <w:r w:rsidR="00EC485A">
        <w:t>.</w:t>
      </w:r>
      <w:r w:rsidRPr="00990381">
        <w:t>, Jarvis A</w:t>
      </w:r>
      <w:r w:rsidR="00EC485A">
        <w:t>.</w:t>
      </w:r>
      <w:r w:rsidRPr="00990381">
        <w:t>P</w:t>
      </w:r>
      <w:r w:rsidR="00EC485A">
        <w:t>.</w:t>
      </w:r>
      <w:r w:rsidRPr="00990381">
        <w:t>, Burke I</w:t>
      </w:r>
      <w:r w:rsidR="00EC485A">
        <w:t>.</w:t>
      </w:r>
      <w:r w:rsidRPr="00990381">
        <w:t>T</w:t>
      </w:r>
      <w:r w:rsidR="00EC485A">
        <w:t>.</w:t>
      </w:r>
      <w:r w:rsidRPr="00990381">
        <w:t>, Walton M</w:t>
      </w:r>
      <w:r w:rsidR="00EC485A">
        <w:t>.</w:t>
      </w:r>
      <w:r w:rsidRPr="00990381">
        <w:t>, Feigl V</w:t>
      </w:r>
      <w:r w:rsidR="00EC485A">
        <w:t>.</w:t>
      </w:r>
      <w:r w:rsidRPr="00990381">
        <w:t>, Klebercz O</w:t>
      </w:r>
      <w:r w:rsidR="00EC485A">
        <w:t>.</w:t>
      </w:r>
      <w:r w:rsidRPr="00990381">
        <w:t>, Gruiz K</w:t>
      </w:r>
      <w:r w:rsidR="00EC485A">
        <w:t>.</w:t>
      </w:r>
      <w:r w:rsidRPr="00990381">
        <w:t xml:space="preserve">, Dispersal and attenuation of trace contaminants downstream of the Ajka bauxite residue (red mud) depository failure, Hungary, </w:t>
      </w:r>
      <w:r w:rsidRPr="00EC485A">
        <w:rPr>
          <w:i/>
        </w:rPr>
        <w:t>Environ Sci Technol</w:t>
      </w:r>
      <w:r w:rsidRPr="00990381">
        <w:t xml:space="preserve"> </w:t>
      </w:r>
      <w:r w:rsidRPr="00EC485A">
        <w:rPr>
          <w:b/>
        </w:rPr>
        <w:t>45</w:t>
      </w:r>
      <w:r w:rsidR="00EC485A">
        <w:t>(12), pp.</w:t>
      </w:r>
      <w:r w:rsidRPr="00990381">
        <w:t xml:space="preserve"> 5147–55.</w:t>
      </w:r>
      <w:r w:rsidR="00EC485A" w:rsidRPr="00EC485A">
        <w:t xml:space="preserve"> </w:t>
      </w:r>
      <w:r w:rsidR="00EC485A" w:rsidRPr="00990381">
        <w:t>2011</w:t>
      </w:r>
      <w:r w:rsidR="00EC485A">
        <w:t>.</w:t>
      </w:r>
    </w:p>
    <w:p w:rsidR="00990381" w:rsidRPr="00990381" w:rsidRDefault="00990381" w:rsidP="00990381">
      <w:pPr>
        <w:pStyle w:val="Reference"/>
        <w:tabs>
          <w:tab w:val="clear" w:pos="360"/>
          <w:tab w:val="num" w:pos="426"/>
        </w:tabs>
        <w:ind w:left="425" w:hanging="425"/>
      </w:pPr>
      <w:r w:rsidRPr="00990381">
        <w:t>Renforth P</w:t>
      </w:r>
      <w:r w:rsidR="00EC485A">
        <w:t>.</w:t>
      </w:r>
      <w:r w:rsidRPr="00990381">
        <w:t>, Mayes W</w:t>
      </w:r>
      <w:r w:rsidR="00EC485A">
        <w:t>.</w:t>
      </w:r>
      <w:r w:rsidRPr="00990381">
        <w:t>M</w:t>
      </w:r>
      <w:r w:rsidR="00EC485A">
        <w:t>.</w:t>
      </w:r>
      <w:r w:rsidRPr="00990381">
        <w:t>, Jarvis A</w:t>
      </w:r>
      <w:r w:rsidR="00EC485A">
        <w:t>.</w:t>
      </w:r>
      <w:r w:rsidRPr="00990381">
        <w:t>P</w:t>
      </w:r>
      <w:r w:rsidR="00EC485A">
        <w:t>.</w:t>
      </w:r>
      <w:r w:rsidRPr="00990381">
        <w:t>, Burke I</w:t>
      </w:r>
      <w:r w:rsidR="00EC485A">
        <w:t>.</w:t>
      </w:r>
      <w:r w:rsidRPr="00990381">
        <w:t>T</w:t>
      </w:r>
      <w:r w:rsidR="00EC485A">
        <w:t>.</w:t>
      </w:r>
      <w:r w:rsidRPr="00990381">
        <w:t>, Manning D</w:t>
      </w:r>
      <w:r w:rsidR="00760CAA">
        <w:t>.</w:t>
      </w:r>
      <w:r w:rsidRPr="00990381">
        <w:t>A</w:t>
      </w:r>
      <w:r w:rsidR="00760CAA">
        <w:t>.</w:t>
      </w:r>
      <w:r w:rsidRPr="00990381">
        <w:t>C</w:t>
      </w:r>
      <w:r w:rsidR="00760CAA">
        <w:t>.</w:t>
      </w:r>
      <w:r w:rsidRPr="00990381">
        <w:t>, Gruiz K</w:t>
      </w:r>
      <w:r w:rsidR="00760CAA">
        <w:t>.</w:t>
      </w:r>
      <w:r w:rsidRPr="00990381">
        <w:t xml:space="preserve">, Contaminant mobility and carbon sequestration downstream of the Ajka (Hungary) red mud spill: The effects of gypsum dosing, </w:t>
      </w:r>
      <w:r w:rsidRPr="00760CAA">
        <w:rPr>
          <w:i/>
        </w:rPr>
        <w:t>Sci Total Environ</w:t>
      </w:r>
      <w:r w:rsidRPr="00990381">
        <w:t xml:space="preserve"> </w:t>
      </w:r>
      <w:r w:rsidRPr="00760CAA">
        <w:rPr>
          <w:b/>
        </w:rPr>
        <w:t>421-422</w:t>
      </w:r>
      <w:r w:rsidR="00760CAA">
        <w:t>,</w:t>
      </w:r>
      <w:r w:rsidRPr="00990381">
        <w:t xml:space="preserve"> </w:t>
      </w:r>
      <w:r w:rsidR="00760CAA">
        <w:t xml:space="preserve">pp. </w:t>
      </w:r>
      <w:r w:rsidRPr="00990381">
        <w:t>253-259.</w:t>
      </w:r>
      <w:r w:rsidR="00760CAA" w:rsidRPr="00760CAA">
        <w:t xml:space="preserve"> </w:t>
      </w:r>
      <w:r w:rsidR="00760CAA" w:rsidRPr="00990381">
        <w:t>2012</w:t>
      </w:r>
      <w:r w:rsidR="00760CAA">
        <w:t>.</w:t>
      </w:r>
    </w:p>
    <w:p w:rsidR="00990381" w:rsidRPr="00990381" w:rsidRDefault="00990381" w:rsidP="00990381">
      <w:pPr>
        <w:pStyle w:val="Reference"/>
        <w:tabs>
          <w:tab w:val="clear" w:pos="360"/>
          <w:tab w:val="num" w:pos="426"/>
        </w:tabs>
        <w:ind w:left="425" w:hanging="425"/>
      </w:pPr>
      <w:r w:rsidRPr="00990381">
        <w:t>Burke I</w:t>
      </w:r>
      <w:r w:rsidR="00760CAA">
        <w:t>.</w:t>
      </w:r>
      <w:r w:rsidRPr="00990381">
        <w:t>T</w:t>
      </w:r>
      <w:r w:rsidR="00760CAA">
        <w:t>.</w:t>
      </w:r>
      <w:r w:rsidRPr="00990381">
        <w:t>, Mayes W</w:t>
      </w:r>
      <w:r w:rsidR="00760CAA">
        <w:t>.</w:t>
      </w:r>
      <w:r w:rsidRPr="00990381">
        <w:t>M</w:t>
      </w:r>
      <w:r w:rsidR="00760CAA">
        <w:t>.</w:t>
      </w:r>
      <w:r w:rsidRPr="00990381">
        <w:t>, Peacock C</w:t>
      </w:r>
      <w:r w:rsidR="00760CAA">
        <w:t>.</w:t>
      </w:r>
      <w:r w:rsidRPr="00990381">
        <w:t>L</w:t>
      </w:r>
      <w:r w:rsidR="00760CAA">
        <w:t>.</w:t>
      </w:r>
      <w:r w:rsidRPr="00990381">
        <w:t>, Brown A</w:t>
      </w:r>
      <w:r w:rsidR="00760CAA">
        <w:t>.</w:t>
      </w:r>
      <w:r w:rsidRPr="00990381">
        <w:t>P</w:t>
      </w:r>
      <w:r w:rsidR="00760CAA">
        <w:t>.</w:t>
      </w:r>
      <w:r w:rsidRPr="00990381">
        <w:t>, Jarvis A</w:t>
      </w:r>
      <w:r w:rsidR="00760CAA">
        <w:t>.</w:t>
      </w:r>
      <w:r w:rsidRPr="00990381">
        <w:t>P</w:t>
      </w:r>
      <w:r w:rsidR="00760CAA">
        <w:t>.</w:t>
      </w:r>
      <w:r w:rsidRPr="00990381">
        <w:t>, Gruiz K</w:t>
      </w:r>
      <w:r w:rsidR="00760CAA">
        <w:t>.</w:t>
      </w:r>
      <w:r w:rsidRPr="00990381">
        <w:t xml:space="preserve">,  Speciation of Arsenic, Chromium, and Vanadium in Red Mud Samples from the Ajka Spill Site, Hungary, </w:t>
      </w:r>
      <w:r w:rsidRPr="00760CAA">
        <w:rPr>
          <w:b/>
        </w:rPr>
        <w:t>Environ Sci Technol</w:t>
      </w:r>
      <w:r w:rsidRPr="00990381">
        <w:t xml:space="preserve"> </w:t>
      </w:r>
      <w:r w:rsidRPr="00760CAA">
        <w:rPr>
          <w:b/>
        </w:rPr>
        <w:t>46</w:t>
      </w:r>
      <w:r w:rsidRPr="00990381">
        <w:t>(6)</w:t>
      </w:r>
      <w:r w:rsidR="00760CAA">
        <w:t>, pp.</w:t>
      </w:r>
      <w:r w:rsidRPr="00990381">
        <w:t xml:space="preserve"> 3085</w:t>
      </w:r>
      <w:r w:rsidRPr="00990381">
        <w:rPr>
          <w:rFonts w:hint="eastAsia"/>
        </w:rPr>
        <w:t>−</w:t>
      </w:r>
      <w:r w:rsidRPr="00990381">
        <w:t>3092.</w:t>
      </w:r>
      <w:r w:rsidR="00760CAA" w:rsidRPr="00760CAA">
        <w:t xml:space="preserve"> </w:t>
      </w:r>
      <w:r w:rsidR="00760CAA" w:rsidRPr="00990381">
        <w:t>2012</w:t>
      </w:r>
      <w:r w:rsidR="00760CAA">
        <w:t>.</w:t>
      </w:r>
    </w:p>
    <w:p w:rsidR="00990381" w:rsidRPr="00990381" w:rsidRDefault="00990381" w:rsidP="00990381">
      <w:pPr>
        <w:pStyle w:val="Reference"/>
        <w:tabs>
          <w:tab w:val="clear" w:pos="360"/>
          <w:tab w:val="num" w:pos="426"/>
        </w:tabs>
        <w:ind w:left="425" w:hanging="425"/>
      </w:pPr>
      <w:r w:rsidRPr="00990381">
        <w:t>Grundy S</w:t>
      </w:r>
      <w:r w:rsidR="00760CAA">
        <w:t>.</w:t>
      </w:r>
      <w:r w:rsidRPr="00990381">
        <w:t>, Farkas Gy</w:t>
      </w:r>
      <w:r w:rsidR="00760CAA">
        <w:t>.</w:t>
      </w:r>
      <w:r w:rsidRPr="00990381">
        <w:t>, Székely G</w:t>
      </w:r>
      <w:r w:rsidR="00760CAA">
        <w:t>.</w:t>
      </w:r>
      <w:r w:rsidRPr="00990381">
        <w:t>, Kásler M</w:t>
      </w:r>
      <w:r w:rsidR="00760CAA">
        <w:t>.</w:t>
      </w:r>
      <w:r w:rsidRPr="00990381">
        <w:t xml:space="preserve">,  No short-term cytogenetic consequences of Hungarian red mud catastrophe, </w:t>
      </w:r>
      <w:r w:rsidRPr="00760CAA">
        <w:rPr>
          <w:i/>
        </w:rPr>
        <w:t>Oxf J Life Sci Med Mut</w:t>
      </w:r>
      <w:hyperlink r:id="rId18" w:history="1">
        <w:r w:rsidR="00760CAA">
          <w:t xml:space="preserve"> </w:t>
        </w:r>
        <w:r w:rsidR="00760CAA" w:rsidRPr="00760CAA">
          <w:rPr>
            <w:b/>
          </w:rPr>
          <w:t>28</w:t>
        </w:r>
        <w:r w:rsidRPr="00990381">
          <w:t>(1</w:t>
        </w:r>
      </w:hyperlink>
      <w:r w:rsidRPr="00990381">
        <w:t>)</w:t>
      </w:r>
      <w:r w:rsidR="00760CAA">
        <w:t xml:space="preserve">, pp. </w:t>
      </w:r>
      <w:r w:rsidRPr="00990381">
        <w:t>1-5.</w:t>
      </w:r>
      <w:r w:rsidR="00760CAA" w:rsidRPr="00760CAA">
        <w:t xml:space="preserve"> </w:t>
      </w:r>
      <w:r w:rsidR="00760CAA" w:rsidRPr="00990381">
        <w:t>2013</w:t>
      </w:r>
      <w:r w:rsidR="00760CAA">
        <w:t>.</w:t>
      </w:r>
    </w:p>
    <w:p w:rsidR="00990381" w:rsidRPr="00990381" w:rsidRDefault="00990381" w:rsidP="00990381">
      <w:pPr>
        <w:pStyle w:val="Reference"/>
        <w:tabs>
          <w:tab w:val="clear" w:pos="360"/>
          <w:tab w:val="num" w:pos="426"/>
        </w:tabs>
        <w:ind w:left="425" w:hanging="425"/>
      </w:pPr>
      <w:r w:rsidRPr="00990381">
        <w:t>Wang P</w:t>
      </w:r>
      <w:r w:rsidR="00760CAA">
        <w:t>.</w:t>
      </w:r>
      <w:r w:rsidRPr="00990381">
        <w:t>, Liu D</w:t>
      </w:r>
      <w:r w:rsidR="00760CAA">
        <w:t>.</w:t>
      </w:r>
      <w:r w:rsidRPr="00990381">
        <w:t>Y</w:t>
      </w:r>
      <w:r w:rsidR="00760CAA">
        <w:t>.</w:t>
      </w:r>
      <w:r w:rsidRPr="00990381">
        <w:t xml:space="preserve">, Physical and Chemical Properties of Sintering Red Mud and Bayer Red Mud and the Implications for Beneficial Utilization, </w:t>
      </w:r>
      <w:r w:rsidR="00760CAA" w:rsidRPr="002C17C8">
        <w:rPr>
          <w:i/>
          <w:iCs/>
        </w:rPr>
        <w:t>Materials</w:t>
      </w:r>
      <w:r w:rsidR="00760CAA" w:rsidRPr="002C17C8">
        <w:t>, </w:t>
      </w:r>
      <w:r w:rsidR="00760CAA" w:rsidRPr="002C17C8">
        <w:rPr>
          <w:b/>
          <w:iCs/>
        </w:rPr>
        <w:t>5</w:t>
      </w:r>
      <w:r w:rsidR="002C17C8">
        <w:t xml:space="preserve">(10), pp. </w:t>
      </w:r>
      <w:r w:rsidR="00760CAA" w:rsidRPr="002C17C8">
        <w:t>1800-1810</w:t>
      </w:r>
      <w:r w:rsidR="002C17C8">
        <w:t xml:space="preserve">. </w:t>
      </w:r>
      <w:r w:rsidR="002C17C8" w:rsidRPr="002C17C8">
        <w:t>2012</w:t>
      </w:r>
      <w:r w:rsidR="002C17C8">
        <w:t>. DOI</w:t>
      </w:r>
      <w:r w:rsidR="00760CAA" w:rsidRPr="002C17C8">
        <w:t>:</w:t>
      </w:r>
      <w:r w:rsidR="002C17C8">
        <w:t xml:space="preserve"> </w:t>
      </w:r>
      <w:hyperlink r:id="rId19" w:history="1">
        <w:r w:rsidR="00760CAA" w:rsidRPr="002C17C8">
          <w:rPr>
            <w:rStyle w:val="Hiperhivatkozs"/>
          </w:rPr>
          <w:t>10.3390/ma5101800</w:t>
        </w:r>
      </w:hyperlink>
      <w:r w:rsidR="002C17C8">
        <w:rPr>
          <w:rStyle w:val="Hiperhivatkozs"/>
        </w:rPr>
        <w:t>.</w:t>
      </w:r>
      <w:r w:rsidR="002C17C8">
        <w:t>10.11.2014.</w:t>
      </w:r>
    </w:p>
    <w:p w:rsidR="00990381" w:rsidRPr="00990381" w:rsidRDefault="00990381" w:rsidP="00990381">
      <w:pPr>
        <w:pStyle w:val="Reference"/>
        <w:tabs>
          <w:tab w:val="clear" w:pos="360"/>
          <w:tab w:val="num" w:pos="426"/>
        </w:tabs>
        <w:ind w:left="425" w:hanging="425"/>
      </w:pPr>
      <w:r w:rsidRPr="00990381">
        <w:t>Klauber C</w:t>
      </w:r>
      <w:r w:rsidR="002C17C8">
        <w:t>.</w:t>
      </w:r>
      <w:r w:rsidRPr="00990381">
        <w:t>, Gräfe M</w:t>
      </w:r>
      <w:r w:rsidR="002C17C8">
        <w:t>.</w:t>
      </w:r>
      <w:r w:rsidRPr="00990381">
        <w:t>, Power G</w:t>
      </w:r>
      <w:r w:rsidR="002C17C8">
        <w:t>.</w:t>
      </w:r>
      <w:r w:rsidRPr="00990381">
        <w:t xml:space="preserve">, Bauxite residue issues: II. options for residue utilization, </w:t>
      </w:r>
      <w:r w:rsidRPr="002C17C8">
        <w:rPr>
          <w:i/>
        </w:rPr>
        <w:t>Hydrometallurgy</w:t>
      </w:r>
      <w:r w:rsidR="002C17C8">
        <w:t xml:space="preserve"> </w:t>
      </w:r>
      <w:r w:rsidR="002C17C8" w:rsidRPr="002C17C8">
        <w:rPr>
          <w:b/>
        </w:rPr>
        <w:t>108</w:t>
      </w:r>
      <w:r w:rsidRPr="00990381">
        <w:t>(1-2)</w:t>
      </w:r>
      <w:r w:rsidR="002C17C8">
        <w:t xml:space="preserve">, pp. </w:t>
      </w:r>
      <w:r w:rsidRPr="00990381">
        <w:t>11–32.</w:t>
      </w:r>
      <w:r w:rsidR="002C17C8" w:rsidRPr="002C17C8">
        <w:t xml:space="preserve"> </w:t>
      </w:r>
      <w:r w:rsidR="002C17C8" w:rsidRPr="00990381">
        <w:t>2011</w:t>
      </w:r>
      <w:r w:rsidR="002C17C8">
        <w:t>.</w:t>
      </w:r>
    </w:p>
    <w:p w:rsidR="00990381" w:rsidRPr="00990381" w:rsidRDefault="00990381" w:rsidP="00990381">
      <w:pPr>
        <w:pStyle w:val="Reference"/>
        <w:tabs>
          <w:tab w:val="clear" w:pos="360"/>
          <w:tab w:val="num" w:pos="426"/>
        </w:tabs>
        <w:ind w:left="425" w:hanging="425"/>
      </w:pPr>
      <w:r w:rsidRPr="00990381">
        <w:t>Maddocks G</w:t>
      </w:r>
      <w:r w:rsidR="002C17C8">
        <w:t>.</w:t>
      </w:r>
      <w:r w:rsidRPr="00990381">
        <w:t>, Lin C</w:t>
      </w:r>
      <w:r w:rsidR="002C17C8">
        <w:t>.</w:t>
      </w:r>
      <w:r w:rsidRPr="00990381">
        <w:t>, McConchie D</w:t>
      </w:r>
      <w:r w:rsidR="002C17C8">
        <w:t>.</w:t>
      </w:r>
      <w:r w:rsidRPr="00990381">
        <w:t xml:space="preserve">, Effects of BauxsolTM and biosolids on soil conditions of acid-generating mine spoil for plant growth, </w:t>
      </w:r>
      <w:r w:rsidRPr="002C17C8">
        <w:rPr>
          <w:i/>
        </w:rPr>
        <w:t>Environ Pollut</w:t>
      </w:r>
      <w:r w:rsidR="002C17C8">
        <w:t xml:space="preserve"> </w:t>
      </w:r>
      <w:r w:rsidR="002C17C8" w:rsidRPr="002C17C8">
        <w:rPr>
          <w:b/>
        </w:rPr>
        <w:t>127</w:t>
      </w:r>
      <w:r w:rsidR="002C17C8">
        <w:t>(2) pp.</w:t>
      </w:r>
      <w:r w:rsidRPr="00990381">
        <w:t xml:space="preserve"> 157–167.</w:t>
      </w:r>
      <w:r w:rsidR="002C17C8" w:rsidRPr="002C17C8">
        <w:t xml:space="preserve"> </w:t>
      </w:r>
      <w:r w:rsidR="002C17C8" w:rsidRPr="00990381">
        <w:t>2004</w:t>
      </w:r>
      <w:r w:rsidR="002C17C8">
        <w:t>.</w:t>
      </w:r>
    </w:p>
    <w:p w:rsidR="00990381" w:rsidRPr="00990381" w:rsidRDefault="00990381" w:rsidP="00990381">
      <w:pPr>
        <w:pStyle w:val="Reference"/>
        <w:tabs>
          <w:tab w:val="clear" w:pos="360"/>
          <w:tab w:val="num" w:pos="426"/>
        </w:tabs>
        <w:ind w:left="425" w:hanging="425"/>
      </w:pPr>
      <w:r w:rsidRPr="00990381">
        <w:t>Zijlstra J</w:t>
      </w:r>
      <w:r w:rsidR="002C17C8">
        <w:t>.</w:t>
      </w:r>
      <w:r w:rsidRPr="00990381">
        <w:t>J</w:t>
      </w:r>
      <w:r w:rsidR="002C17C8">
        <w:t>.</w:t>
      </w:r>
      <w:r w:rsidRPr="00990381">
        <w:t>P</w:t>
      </w:r>
      <w:r w:rsidR="002C17C8">
        <w:t>.</w:t>
      </w:r>
      <w:r w:rsidRPr="00990381">
        <w:t>, Dessi R</w:t>
      </w:r>
      <w:r w:rsidR="002C17C8">
        <w:t>.</w:t>
      </w:r>
      <w:r w:rsidRPr="00990381">
        <w:t>, Peretti R</w:t>
      </w:r>
      <w:r w:rsidR="002C17C8">
        <w:t>.</w:t>
      </w:r>
      <w:r w:rsidRPr="00990381">
        <w:t>, Zucca A</w:t>
      </w:r>
      <w:r w:rsidR="002C17C8">
        <w:t>.</w:t>
      </w:r>
      <w:r w:rsidRPr="00990381">
        <w:t xml:space="preserve">, Treatment of percolate from metal sulfide mine tailings with a permeable reactive barrier of transformed red mud, </w:t>
      </w:r>
      <w:r w:rsidRPr="002C17C8">
        <w:rPr>
          <w:i/>
        </w:rPr>
        <w:t>Water Environ Res</w:t>
      </w:r>
      <w:r w:rsidR="002C17C8">
        <w:t xml:space="preserve"> </w:t>
      </w:r>
      <w:r w:rsidR="002C17C8" w:rsidRPr="002C17C8">
        <w:rPr>
          <w:b/>
        </w:rPr>
        <w:t>82</w:t>
      </w:r>
      <w:r w:rsidRPr="00990381">
        <w:t>(4)</w:t>
      </w:r>
      <w:r w:rsidR="002C17C8">
        <w:t>, pp.</w:t>
      </w:r>
      <w:r w:rsidRPr="00990381">
        <w:t xml:space="preserve"> 319–327.</w:t>
      </w:r>
      <w:r w:rsidR="002C17C8" w:rsidRPr="002C17C8">
        <w:t xml:space="preserve"> </w:t>
      </w:r>
      <w:r w:rsidR="002C17C8" w:rsidRPr="00990381">
        <w:t>2010</w:t>
      </w:r>
      <w:r w:rsidR="002C17C8">
        <w:t>.</w:t>
      </w:r>
    </w:p>
    <w:p w:rsidR="00990381" w:rsidRPr="00990381" w:rsidRDefault="00990381" w:rsidP="00990381">
      <w:pPr>
        <w:pStyle w:val="Reference"/>
        <w:tabs>
          <w:tab w:val="clear" w:pos="360"/>
          <w:tab w:val="num" w:pos="426"/>
        </w:tabs>
        <w:ind w:left="425" w:hanging="425"/>
      </w:pPr>
      <w:r w:rsidRPr="00990381">
        <w:t>Rios C</w:t>
      </w:r>
      <w:r w:rsidR="002C17C8">
        <w:t>.</w:t>
      </w:r>
      <w:r w:rsidRPr="00990381">
        <w:t>A</w:t>
      </w:r>
      <w:r w:rsidR="002C17C8">
        <w:t>.</w:t>
      </w:r>
      <w:r w:rsidRPr="00990381">
        <w:t>, Williams C</w:t>
      </w:r>
      <w:r w:rsidR="002C17C8">
        <w:t>.</w:t>
      </w:r>
      <w:r w:rsidRPr="00990381">
        <w:t>D</w:t>
      </w:r>
      <w:r w:rsidR="002C17C8">
        <w:t>.</w:t>
      </w:r>
      <w:r w:rsidRPr="00990381">
        <w:t>, Roberts C</w:t>
      </w:r>
      <w:r w:rsidR="002C17C8">
        <w:t>.</w:t>
      </w:r>
      <w:r w:rsidRPr="00990381">
        <w:t>L</w:t>
      </w:r>
      <w:r w:rsidR="002C17C8">
        <w:t>.</w:t>
      </w:r>
      <w:r w:rsidRPr="00990381">
        <w:t xml:space="preserve">, Removal of heavy metals from acid mine drainage (AMD) using coal fly ash, natural clinker and synthetic zeolites, </w:t>
      </w:r>
      <w:r w:rsidRPr="002C17C8">
        <w:rPr>
          <w:i/>
        </w:rPr>
        <w:t>J Hazard Mater</w:t>
      </w:r>
      <w:r w:rsidR="002C17C8">
        <w:t xml:space="preserve"> </w:t>
      </w:r>
      <w:r w:rsidR="002C17C8" w:rsidRPr="002C17C8">
        <w:rPr>
          <w:b/>
        </w:rPr>
        <w:t>156</w:t>
      </w:r>
      <w:r w:rsidR="002C17C8">
        <w:t>(1–3)</w:t>
      </w:r>
      <w:r w:rsidRPr="00990381">
        <w:t>,</w:t>
      </w:r>
      <w:r w:rsidR="002C17C8">
        <w:t xml:space="preserve"> pp.</w:t>
      </w:r>
      <w:r w:rsidRPr="00990381">
        <w:t xml:space="preserve"> 23–35.</w:t>
      </w:r>
      <w:r w:rsidR="002C17C8" w:rsidRPr="002C17C8">
        <w:t xml:space="preserve"> </w:t>
      </w:r>
      <w:r w:rsidR="002C17C8" w:rsidRPr="00990381">
        <w:t>2008</w:t>
      </w:r>
      <w:r w:rsidR="002C17C8">
        <w:t>.</w:t>
      </w:r>
    </w:p>
    <w:p w:rsidR="00990381" w:rsidRPr="00990381" w:rsidRDefault="00990381" w:rsidP="00990381">
      <w:pPr>
        <w:pStyle w:val="Reference"/>
        <w:tabs>
          <w:tab w:val="clear" w:pos="360"/>
          <w:tab w:val="num" w:pos="426"/>
        </w:tabs>
        <w:ind w:left="425" w:hanging="425"/>
      </w:pPr>
      <w:r w:rsidRPr="00990381">
        <w:t>Alva A</w:t>
      </w:r>
      <w:r w:rsidR="002C17C8">
        <w:t>.</w:t>
      </w:r>
      <w:r w:rsidRPr="00990381">
        <w:t>K</w:t>
      </w:r>
      <w:r w:rsidR="002C17C8">
        <w:t>.</w:t>
      </w:r>
      <w:r w:rsidRPr="00990381">
        <w:t>, Huang B</w:t>
      </w:r>
      <w:r w:rsidR="002C17C8">
        <w:t>.</w:t>
      </w:r>
      <w:r w:rsidRPr="00990381">
        <w:t>, Paramasivam S</w:t>
      </w:r>
      <w:r w:rsidR="002C17C8">
        <w:t>.</w:t>
      </w:r>
      <w:r w:rsidRPr="00990381">
        <w:t>, Sajwan K</w:t>
      </w:r>
      <w:r w:rsidR="002C17C8">
        <w:t>.</w:t>
      </w:r>
      <w:r w:rsidRPr="00990381">
        <w:t>S</w:t>
      </w:r>
      <w:r w:rsidR="002C17C8">
        <w:t>.</w:t>
      </w:r>
      <w:r w:rsidRPr="00990381">
        <w:t xml:space="preserve">, Evaluation of root growth limiting factors in Spodic horizons of Spodosols, </w:t>
      </w:r>
      <w:r w:rsidRPr="002C17C8">
        <w:rPr>
          <w:i/>
        </w:rPr>
        <w:t>J Plant Nutr</w:t>
      </w:r>
      <w:r w:rsidR="002C17C8">
        <w:t xml:space="preserve"> </w:t>
      </w:r>
      <w:r w:rsidR="002C17C8" w:rsidRPr="002C17C8">
        <w:rPr>
          <w:b/>
        </w:rPr>
        <w:t>25</w:t>
      </w:r>
      <w:r w:rsidRPr="00990381">
        <w:t>(9)</w:t>
      </w:r>
      <w:r w:rsidR="002C17C8">
        <w:t>, pp.</w:t>
      </w:r>
      <w:r w:rsidRPr="00990381">
        <w:t xml:space="preserve"> 2001–2014.</w:t>
      </w:r>
      <w:r w:rsidR="002C17C8" w:rsidRPr="002C17C8">
        <w:t xml:space="preserve"> </w:t>
      </w:r>
      <w:r w:rsidR="002C17C8" w:rsidRPr="00990381">
        <w:t>2002</w:t>
      </w:r>
      <w:r w:rsidR="002C17C8">
        <w:t>.</w:t>
      </w:r>
    </w:p>
    <w:p w:rsidR="00990381" w:rsidRPr="00990381" w:rsidRDefault="00990381" w:rsidP="00990381">
      <w:pPr>
        <w:pStyle w:val="Reference"/>
        <w:tabs>
          <w:tab w:val="clear" w:pos="360"/>
          <w:tab w:val="num" w:pos="426"/>
        </w:tabs>
        <w:ind w:left="425" w:hanging="425"/>
      </w:pPr>
      <w:r w:rsidRPr="00990381">
        <w:t>Summers R</w:t>
      </w:r>
      <w:r w:rsidR="002C17C8">
        <w:t>.</w:t>
      </w:r>
      <w:r w:rsidRPr="00990381">
        <w:t>, Guise N</w:t>
      </w:r>
      <w:r w:rsidR="002C17C8">
        <w:t>.</w:t>
      </w:r>
      <w:r w:rsidRPr="00990381">
        <w:t>, Smirk D</w:t>
      </w:r>
      <w:r w:rsidR="002C17C8">
        <w:t>.</w:t>
      </w:r>
      <w:r w:rsidRPr="00990381">
        <w:t>, Summers K</w:t>
      </w:r>
      <w:r w:rsidR="002C17C8">
        <w:t>.</w:t>
      </w:r>
      <w:r w:rsidRPr="00990381">
        <w:t xml:space="preserve">, Bauxite residue (red mud) improves pasture growth on sandy soils in Western Australia, </w:t>
      </w:r>
      <w:r w:rsidRPr="002C17C8">
        <w:rPr>
          <w:i/>
        </w:rPr>
        <w:t>Aust J Soil Res</w:t>
      </w:r>
      <w:r w:rsidR="002C17C8">
        <w:t xml:space="preserve"> </w:t>
      </w:r>
      <w:r w:rsidR="002C17C8" w:rsidRPr="002C17C8">
        <w:rPr>
          <w:b/>
        </w:rPr>
        <w:t>34</w:t>
      </w:r>
      <w:r w:rsidRPr="00990381">
        <w:t>(4)</w:t>
      </w:r>
      <w:r w:rsidR="002C17C8">
        <w:t>, pp.</w:t>
      </w:r>
      <w:r w:rsidRPr="00990381">
        <w:t xml:space="preserve"> 569–581.</w:t>
      </w:r>
      <w:r w:rsidR="002C17C8" w:rsidRPr="002C17C8">
        <w:t xml:space="preserve"> </w:t>
      </w:r>
      <w:r w:rsidR="002C17C8" w:rsidRPr="00990381">
        <w:t>1996a</w:t>
      </w:r>
      <w:r w:rsidR="002C17C8">
        <w:t>.</w:t>
      </w:r>
    </w:p>
    <w:p w:rsidR="00990381" w:rsidRPr="00990381" w:rsidRDefault="00990381" w:rsidP="00990381">
      <w:pPr>
        <w:pStyle w:val="Reference"/>
        <w:tabs>
          <w:tab w:val="clear" w:pos="360"/>
          <w:tab w:val="num" w:pos="426"/>
        </w:tabs>
        <w:ind w:left="425" w:hanging="425"/>
      </w:pPr>
      <w:r w:rsidRPr="00990381">
        <w:t>Feigl V</w:t>
      </w:r>
      <w:r w:rsidR="002C17C8">
        <w:t>.</w:t>
      </w:r>
      <w:r w:rsidRPr="00990381">
        <w:t>, Uzinger N</w:t>
      </w:r>
      <w:r w:rsidR="002C17C8">
        <w:t>.</w:t>
      </w:r>
      <w:r w:rsidRPr="00990381">
        <w:t>, Gruiz K</w:t>
      </w:r>
      <w:r w:rsidR="002C17C8">
        <w:t>.</w:t>
      </w:r>
      <w:r w:rsidRPr="00990381">
        <w:t xml:space="preserve">, Chemical stabilisation of toxic metals in soil microcosms, </w:t>
      </w:r>
      <w:r w:rsidRPr="002C17C8">
        <w:rPr>
          <w:i/>
        </w:rPr>
        <w:t>Land Cont Recl</w:t>
      </w:r>
      <w:r w:rsidR="002C17C8">
        <w:t xml:space="preserve"> </w:t>
      </w:r>
      <w:r w:rsidR="002C17C8" w:rsidRPr="002C17C8">
        <w:rPr>
          <w:b/>
        </w:rPr>
        <w:t>17</w:t>
      </w:r>
      <w:r w:rsidRPr="00990381">
        <w:t>(3–4)</w:t>
      </w:r>
      <w:r w:rsidR="002C17C8">
        <w:t>, pp.</w:t>
      </w:r>
      <w:r w:rsidRPr="00990381">
        <w:t xml:space="preserve"> 483–494.</w:t>
      </w:r>
      <w:r w:rsidR="002C17C8" w:rsidRPr="002C17C8">
        <w:t xml:space="preserve"> </w:t>
      </w:r>
      <w:r w:rsidR="002C17C8" w:rsidRPr="00990381">
        <w:t>2009</w:t>
      </w:r>
      <w:r w:rsidR="002C17C8">
        <w:t>.</w:t>
      </w:r>
    </w:p>
    <w:p w:rsidR="00990381" w:rsidRPr="00990381" w:rsidRDefault="00990381" w:rsidP="00990381">
      <w:pPr>
        <w:pStyle w:val="Reference"/>
        <w:tabs>
          <w:tab w:val="clear" w:pos="360"/>
          <w:tab w:val="num" w:pos="426"/>
        </w:tabs>
        <w:ind w:left="425" w:hanging="425"/>
      </w:pPr>
      <w:r w:rsidRPr="00990381">
        <w:t>Summers R</w:t>
      </w:r>
      <w:r w:rsidR="002C17C8">
        <w:t>.</w:t>
      </w:r>
      <w:r w:rsidRPr="00990381">
        <w:t>, Bollandm M</w:t>
      </w:r>
      <w:r w:rsidR="002C17C8">
        <w:t>.</w:t>
      </w:r>
      <w:r w:rsidRPr="00990381">
        <w:t>, Clarke M</w:t>
      </w:r>
      <w:r w:rsidR="002C17C8">
        <w:t>.</w:t>
      </w:r>
      <w:r w:rsidRPr="00990381">
        <w:t xml:space="preserve">, Effect of application of bauxite residue (red mud) to very sandy soils on subterranean clover yield and P response, </w:t>
      </w:r>
      <w:r w:rsidRPr="002C17C8">
        <w:rPr>
          <w:i/>
        </w:rPr>
        <w:t>Aust J Soil Res</w:t>
      </w:r>
      <w:r w:rsidRPr="00990381">
        <w:t xml:space="preserve"> </w:t>
      </w:r>
      <w:r w:rsidRPr="002C17C8">
        <w:rPr>
          <w:b/>
        </w:rPr>
        <w:t>39</w:t>
      </w:r>
      <w:r w:rsidRPr="00990381">
        <w:t>(5)</w:t>
      </w:r>
      <w:r w:rsidR="002C17C8">
        <w:t>, pp.</w:t>
      </w:r>
      <w:r w:rsidRPr="00990381">
        <w:t xml:space="preserve"> 979–990.</w:t>
      </w:r>
      <w:r w:rsidR="002C17C8" w:rsidRPr="002C17C8">
        <w:t xml:space="preserve"> </w:t>
      </w:r>
      <w:r w:rsidR="002C17C8" w:rsidRPr="00990381">
        <w:t>2001</w:t>
      </w:r>
      <w:r w:rsidR="002C17C8">
        <w:t>.</w:t>
      </w:r>
    </w:p>
    <w:p w:rsidR="00990381" w:rsidRPr="00990381" w:rsidRDefault="00990381" w:rsidP="00990381">
      <w:pPr>
        <w:pStyle w:val="Reference"/>
        <w:tabs>
          <w:tab w:val="clear" w:pos="360"/>
          <w:tab w:val="num" w:pos="426"/>
        </w:tabs>
        <w:ind w:left="425" w:hanging="425"/>
      </w:pPr>
      <w:r w:rsidRPr="00990381">
        <w:t>Summers R</w:t>
      </w:r>
      <w:r w:rsidR="002C17C8">
        <w:t>.</w:t>
      </w:r>
      <w:r w:rsidRPr="00990381">
        <w:t>N</w:t>
      </w:r>
      <w:r w:rsidR="002C17C8">
        <w:t>.</w:t>
      </w:r>
      <w:r w:rsidRPr="00990381">
        <w:t>, Rivers M</w:t>
      </w:r>
      <w:r w:rsidR="002C17C8">
        <w:t>.</w:t>
      </w:r>
      <w:r w:rsidRPr="00990381">
        <w:t>R</w:t>
      </w:r>
      <w:r w:rsidR="002C17C8">
        <w:t>.</w:t>
      </w:r>
      <w:r w:rsidRPr="00990381">
        <w:t>, Clarke M</w:t>
      </w:r>
      <w:r w:rsidR="002C17C8">
        <w:t>.</w:t>
      </w:r>
      <w:r w:rsidRPr="00990381">
        <w:t>F</w:t>
      </w:r>
      <w:r w:rsidR="002C17C8">
        <w:t>.</w:t>
      </w:r>
      <w:r w:rsidRPr="00990381">
        <w:t xml:space="preserve">, The use of bauxite residue to control diffuse phosphorous pollution in Western Australia — a win–win–win outcome, </w:t>
      </w:r>
      <w:r w:rsidRPr="002C17C8">
        <w:rPr>
          <w:i/>
        </w:rPr>
        <w:t>Proceedings of the 6th International Alumina Quality</w:t>
      </w:r>
      <w:r w:rsidR="002C17C8">
        <w:t xml:space="preserve"> (Chandrashekar S. (Ed)), </w:t>
      </w:r>
      <w:r w:rsidRPr="00990381">
        <w:t xml:space="preserve"> Brisbane, Australa. </w:t>
      </w:r>
      <w:r w:rsidR="002C17C8" w:rsidRPr="00990381">
        <w:t>2002</w:t>
      </w:r>
      <w:r w:rsidR="002C17C8">
        <w:t>.</w:t>
      </w:r>
    </w:p>
    <w:p w:rsidR="00990381" w:rsidRPr="00990381" w:rsidRDefault="00990381" w:rsidP="00990381">
      <w:pPr>
        <w:pStyle w:val="Reference"/>
        <w:tabs>
          <w:tab w:val="clear" w:pos="360"/>
          <w:tab w:val="num" w:pos="426"/>
        </w:tabs>
        <w:ind w:left="425" w:hanging="425"/>
      </w:pPr>
      <w:r w:rsidRPr="00990381">
        <w:t>Lombi E</w:t>
      </w:r>
      <w:r w:rsidR="002C17C8">
        <w:t>.</w:t>
      </w:r>
      <w:r w:rsidRPr="00990381">
        <w:t>, Zhao F</w:t>
      </w:r>
      <w:r w:rsidR="002C17C8">
        <w:t>.</w:t>
      </w:r>
      <w:r w:rsidRPr="00990381">
        <w:t>J</w:t>
      </w:r>
      <w:r w:rsidR="002C17C8">
        <w:t>.</w:t>
      </w:r>
      <w:r w:rsidRPr="00990381">
        <w:t>, Zhang G</w:t>
      </w:r>
      <w:r w:rsidR="002C17C8">
        <w:t>.</w:t>
      </w:r>
      <w:r w:rsidRPr="00990381">
        <w:t>, Sun B</w:t>
      </w:r>
      <w:r w:rsidR="002C17C8">
        <w:t>.</w:t>
      </w:r>
      <w:r w:rsidRPr="00990381">
        <w:t>, Fitz W</w:t>
      </w:r>
      <w:r w:rsidR="002C17C8">
        <w:t>.</w:t>
      </w:r>
      <w:r w:rsidRPr="00990381">
        <w:t>, Zhang H</w:t>
      </w:r>
      <w:r w:rsidR="002C17C8">
        <w:t>.</w:t>
      </w:r>
      <w:r w:rsidRPr="00990381">
        <w:t>, McGrath S</w:t>
      </w:r>
      <w:r w:rsidR="002C17C8">
        <w:t>.</w:t>
      </w:r>
      <w:r w:rsidRPr="00990381">
        <w:t>P</w:t>
      </w:r>
      <w:r w:rsidR="002C17C8">
        <w:t>.</w:t>
      </w:r>
      <w:r w:rsidRPr="00990381">
        <w:t xml:space="preserve">, In situ fixation of metals in soils using bauxite residue: chemical assessment, </w:t>
      </w:r>
      <w:r w:rsidRPr="002C17C8">
        <w:rPr>
          <w:i/>
        </w:rPr>
        <w:t>Environ Pollut</w:t>
      </w:r>
      <w:r w:rsidR="002C17C8">
        <w:t xml:space="preserve"> </w:t>
      </w:r>
      <w:r w:rsidR="002C17C8" w:rsidRPr="002C17C8">
        <w:rPr>
          <w:b/>
        </w:rPr>
        <w:t>118</w:t>
      </w:r>
      <w:r w:rsidRPr="00990381">
        <w:t>(3)</w:t>
      </w:r>
      <w:r w:rsidR="002C17C8">
        <w:t>, pp.</w:t>
      </w:r>
      <w:r w:rsidRPr="00990381">
        <w:t xml:space="preserve"> 435–443.</w:t>
      </w:r>
      <w:r w:rsidR="002C17C8" w:rsidRPr="002C17C8">
        <w:t xml:space="preserve"> </w:t>
      </w:r>
      <w:r w:rsidR="002C17C8" w:rsidRPr="00990381">
        <w:t>2002a</w:t>
      </w:r>
      <w:r w:rsidR="002C17C8">
        <w:t>.</w:t>
      </w:r>
    </w:p>
    <w:p w:rsidR="00990381" w:rsidRPr="00990381" w:rsidRDefault="00990381" w:rsidP="00990381">
      <w:pPr>
        <w:pStyle w:val="Reference"/>
        <w:tabs>
          <w:tab w:val="clear" w:pos="360"/>
          <w:tab w:val="num" w:pos="426"/>
        </w:tabs>
        <w:ind w:left="425" w:hanging="425"/>
      </w:pPr>
      <w:r w:rsidRPr="00990381">
        <w:t>Lombi E</w:t>
      </w:r>
      <w:r w:rsidR="002C17C8">
        <w:t>.</w:t>
      </w:r>
      <w:r w:rsidRPr="00990381">
        <w:t>, Zhao F</w:t>
      </w:r>
      <w:r w:rsidR="002C17C8">
        <w:t>.</w:t>
      </w:r>
      <w:r w:rsidRPr="00990381">
        <w:t>J</w:t>
      </w:r>
      <w:r w:rsidR="002C17C8">
        <w:t>.</w:t>
      </w:r>
      <w:r w:rsidRPr="00990381">
        <w:t>, Zhang G</w:t>
      </w:r>
      <w:r w:rsidR="002C17C8">
        <w:t>.</w:t>
      </w:r>
      <w:r w:rsidRPr="00990381">
        <w:t>, Wieshammer G</w:t>
      </w:r>
      <w:r w:rsidR="002C17C8">
        <w:t>.</w:t>
      </w:r>
      <w:r w:rsidRPr="00990381">
        <w:t>, Zhang H</w:t>
      </w:r>
      <w:r w:rsidR="002C17C8">
        <w:t>.</w:t>
      </w:r>
      <w:r w:rsidRPr="00990381">
        <w:t>, McGrath S</w:t>
      </w:r>
      <w:r w:rsidR="002C17C8">
        <w:t>.</w:t>
      </w:r>
      <w:r w:rsidRPr="00990381">
        <w:t>P</w:t>
      </w:r>
      <w:r w:rsidR="002C17C8">
        <w:t>.,</w:t>
      </w:r>
      <w:r w:rsidRPr="00990381">
        <w:t xml:space="preserve"> In situ fixation of metals in soils using bauxite residue: biological effects, </w:t>
      </w:r>
      <w:r w:rsidRPr="002C17C8">
        <w:rPr>
          <w:i/>
        </w:rPr>
        <w:t xml:space="preserve">Environ Pollut </w:t>
      </w:r>
      <w:r w:rsidR="002C17C8">
        <w:t>118(3) pp.</w:t>
      </w:r>
      <w:r w:rsidRPr="00990381">
        <w:t xml:space="preserve"> 445–452.</w:t>
      </w:r>
      <w:r w:rsidR="002C17C8" w:rsidRPr="002C17C8">
        <w:t xml:space="preserve"> </w:t>
      </w:r>
      <w:r w:rsidR="002C17C8" w:rsidRPr="00990381">
        <w:t>2002b</w:t>
      </w:r>
      <w:r w:rsidR="002C17C8">
        <w:t>.</w:t>
      </w:r>
    </w:p>
    <w:p w:rsidR="00990381" w:rsidRPr="00990381" w:rsidRDefault="00990381" w:rsidP="00990381">
      <w:pPr>
        <w:pStyle w:val="Reference"/>
        <w:tabs>
          <w:tab w:val="clear" w:pos="360"/>
          <w:tab w:val="num" w:pos="426"/>
        </w:tabs>
        <w:ind w:left="425" w:hanging="425"/>
      </w:pPr>
      <w:r w:rsidRPr="00990381">
        <w:t>Sanderson P</w:t>
      </w:r>
      <w:r w:rsidR="002C17C8">
        <w:t>.</w:t>
      </w:r>
      <w:r w:rsidRPr="00990381">
        <w:t>, Naidu R</w:t>
      </w:r>
      <w:r w:rsidR="002C17C8">
        <w:t>.</w:t>
      </w:r>
      <w:r w:rsidRPr="00990381">
        <w:t>, Bolan N</w:t>
      </w:r>
      <w:r w:rsidR="002C17C8">
        <w:t>.</w:t>
      </w:r>
      <w:r w:rsidRPr="00990381">
        <w:t xml:space="preserve">, Ecotoxicity of chemically stabilised metal(loid)s in shooting range soils, </w:t>
      </w:r>
      <w:r w:rsidRPr="002C17C8">
        <w:rPr>
          <w:i/>
        </w:rPr>
        <w:t>Ecotox Environ Saf</w:t>
      </w:r>
      <w:r w:rsidRPr="00990381">
        <w:t xml:space="preserve"> </w:t>
      </w:r>
      <w:r w:rsidRPr="002C17C8">
        <w:rPr>
          <w:b/>
        </w:rPr>
        <w:t>100</w:t>
      </w:r>
      <w:r w:rsidRPr="00990381">
        <w:t>,</w:t>
      </w:r>
      <w:r w:rsidR="002C17C8">
        <w:t xml:space="preserve"> pp.</w:t>
      </w:r>
      <w:r w:rsidRPr="00990381">
        <w:t xml:space="preserve"> 201-208.</w:t>
      </w:r>
      <w:r w:rsidR="002C17C8" w:rsidRPr="002C17C8">
        <w:t xml:space="preserve"> </w:t>
      </w:r>
      <w:r w:rsidR="002C17C8" w:rsidRPr="00990381">
        <w:t>2014</w:t>
      </w:r>
      <w:r w:rsidR="002C17C8">
        <w:t>.</w:t>
      </w:r>
    </w:p>
    <w:p w:rsidR="00990381" w:rsidRPr="00990381" w:rsidRDefault="00990381" w:rsidP="00990381">
      <w:pPr>
        <w:pStyle w:val="Reference"/>
        <w:tabs>
          <w:tab w:val="clear" w:pos="360"/>
          <w:tab w:val="num" w:pos="426"/>
        </w:tabs>
        <w:ind w:left="425" w:hanging="425"/>
      </w:pPr>
      <w:r w:rsidRPr="00990381">
        <w:t>Anton A</w:t>
      </w:r>
      <w:r w:rsidR="002C17C8">
        <w:t>.</w:t>
      </w:r>
      <w:r w:rsidRPr="00990381">
        <w:t>, Rékási M</w:t>
      </w:r>
      <w:r w:rsidR="002C17C8">
        <w:t>.</w:t>
      </w:r>
      <w:r w:rsidRPr="00990381">
        <w:t>, Uzinger N</w:t>
      </w:r>
      <w:r w:rsidR="002C17C8">
        <w:t>.</w:t>
      </w:r>
      <w:r w:rsidRPr="00990381">
        <w:t>, Széplábi G</w:t>
      </w:r>
      <w:r w:rsidR="002C17C8">
        <w:t>.</w:t>
      </w:r>
      <w:r w:rsidRPr="00990381">
        <w:t>, Makó A</w:t>
      </w:r>
      <w:r w:rsidR="002C17C8">
        <w:t>.</w:t>
      </w:r>
      <w:r w:rsidRPr="00990381">
        <w:t xml:space="preserve">, Modelling the Potential Effects of the Hungarian Red Mud Disaster on Soil Properties, </w:t>
      </w:r>
      <w:r w:rsidRPr="002C17C8">
        <w:rPr>
          <w:i/>
        </w:rPr>
        <w:t>Water Air Soil Pollut</w:t>
      </w:r>
      <w:r w:rsidRPr="00990381">
        <w:t xml:space="preserve"> </w:t>
      </w:r>
      <w:r w:rsidRPr="002C17C8">
        <w:rPr>
          <w:b/>
        </w:rPr>
        <w:t>223</w:t>
      </w:r>
      <w:r w:rsidRPr="00990381">
        <w:t>(8)</w:t>
      </w:r>
      <w:r w:rsidR="002C17C8">
        <w:t>, pp.</w:t>
      </w:r>
      <w:r w:rsidRPr="00990381">
        <w:t xml:space="preserve"> 5175-5188.</w:t>
      </w:r>
      <w:r w:rsidR="002C17C8" w:rsidRPr="002C17C8">
        <w:t xml:space="preserve"> </w:t>
      </w:r>
      <w:r w:rsidR="002C17C8" w:rsidRPr="00990381">
        <w:t>2012</w:t>
      </w:r>
      <w:r w:rsidR="002C17C8">
        <w:t>.</w:t>
      </w:r>
    </w:p>
    <w:p w:rsidR="00990381" w:rsidRDefault="002B67DF" w:rsidP="00990381">
      <w:pPr>
        <w:pStyle w:val="Reference"/>
        <w:tabs>
          <w:tab w:val="clear" w:pos="360"/>
          <w:tab w:val="num" w:pos="426"/>
        </w:tabs>
        <w:ind w:left="425" w:hanging="425"/>
      </w:pPr>
      <w:hyperlink r:id="rId20" w:history="1">
        <w:r w:rsidR="00990381" w:rsidRPr="00990381">
          <w:t>Lehoux A</w:t>
        </w:r>
        <w:r w:rsidR="002C17C8">
          <w:t>.</w:t>
        </w:r>
        <w:r w:rsidR="00990381" w:rsidRPr="00990381">
          <w:t>P</w:t>
        </w:r>
      </w:hyperlink>
      <w:r w:rsidR="002C17C8">
        <w:t>.</w:t>
      </w:r>
      <w:r w:rsidR="00990381" w:rsidRPr="00990381">
        <w:t xml:space="preserve">, </w:t>
      </w:r>
      <w:hyperlink r:id="rId21" w:history="1">
        <w:r w:rsidR="00990381" w:rsidRPr="00990381">
          <w:t>Lockwood C</w:t>
        </w:r>
        <w:r w:rsidR="002C17C8">
          <w:t>.</w:t>
        </w:r>
        <w:r w:rsidR="00990381" w:rsidRPr="00990381">
          <w:t>L</w:t>
        </w:r>
      </w:hyperlink>
      <w:r w:rsidR="002C17C8">
        <w:t>.</w:t>
      </w:r>
      <w:r w:rsidR="00990381" w:rsidRPr="00990381">
        <w:t xml:space="preserve">, </w:t>
      </w:r>
      <w:hyperlink r:id="rId22" w:history="1">
        <w:r w:rsidR="00990381" w:rsidRPr="00990381">
          <w:t>Mayes W</w:t>
        </w:r>
        <w:r w:rsidR="002C17C8">
          <w:t>.</w:t>
        </w:r>
        <w:r w:rsidR="00990381" w:rsidRPr="00990381">
          <w:t>M</w:t>
        </w:r>
      </w:hyperlink>
      <w:r w:rsidR="002C17C8">
        <w:t>.</w:t>
      </w:r>
      <w:r w:rsidR="00990381" w:rsidRPr="00990381">
        <w:t xml:space="preserve">, </w:t>
      </w:r>
      <w:hyperlink r:id="rId23" w:history="1">
        <w:r w:rsidR="00990381" w:rsidRPr="00990381">
          <w:t>Stewart D</w:t>
        </w:r>
        <w:r w:rsidR="002C17C8">
          <w:t>.</w:t>
        </w:r>
        <w:r w:rsidR="00990381" w:rsidRPr="00990381">
          <w:t>I</w:t>
        </w:r>
      </w:hyperlink>
      <w:r w:rsidR="002C17C8">
        <w:t>.</w:t>
      </w:r>
      <w:r w:rsidR="00990381" w:rsidRPr="00990381">
        <w:t xml:space="preserve">, </w:t>
      </w:r>
      <w:hyperlink r:id="rId24" w:history="1">
        <w:r w:rsidR="00990381" w:rsidRPr="00990381">
          <w:t>Mortimer R</w:t>
        </w:r>
        <w:r w:rsidR="002C17C8">
          <w:t>.</w:t>
        </w:r>
        <w:r w:rsidR="00990381" w:rsidRPr="00990381">
          <w:t>J</w:t>
        </w:r>
      </w:hyperlink>
      <w:r w:rsidR="002C17C8">
        <w:t>.</w:t>
      </w:r>
      <w:r w:rsidR="00990381" w:rsidRPr="00990381">
        <w:t xml:space="preserve">, </w:t>
      </w:r>
      <w:hyperlink r:id="rId25" w:history="1">
        <w:r w:rsidR="00990381" w:rsidRPr="00990381">
          <w:t>Gruiz K</w:t>
        </w:r>
      </w:hyperlink>
      <w:r w:rsidR="002C17C8">
        <w:t>.</w:t>
      </w:r>
      <w:r w:rsidR="00990381" w:rsidRPr="00990381">
        <w:t xml:space="preserve">, </w:t>
      </w:r>
      <w:hyperlink r:id="rId26" w:history="1">
        <w:r w:rsidR="00990381" w:rsidRPr="00990381">
          <w:t>Burke I</w:t>
        </w:r>
        <w:r w:rsidR="002C17C8">
          <w:t>.</w:t>
        </w:r>
        <w:r w:rsidR="00990381" w:rsidRPr="00990381">
          <w:t>T</w:t>
        </w:r>
      </w:hyperlink>
      <w:r w:rsidR="002C17C8">
        <w:t>.</w:t>
      </w:r>
      <w:r w:rsidR="00990381" w:rsidRPr="00990381">
        <w:t xml:space="preserve">, Gypsum addition to soils contaminated by red mud: implications for aluminium, arsenic, molybdenum and vanadium solubility, </w:t>
      </w:r>
      <w:r w:rsidR="00990381" w:rsidRPr="002C17C8">
        <w:rPr>
          <w:i/>
        </w:rPr>
        <w:t>Environ Geochem Health</w:t>
      </w:r>
      <w:r w:rsidR="00990381" w:rsidRPr="00990381">
        <w:t xml:space="preserve"> </w:t>
      </w:r>
      <w:r w:rsidR="002B14DC" w:rsidRPr="002B14DC">
        <w:rPr>
          <w:b/>
        </w:rPr>
        <w:t>35</w:t>
      </w:r>
      <w:r w:rsidR="002B14DC" w:rsidRPr="002B14DC">
        <w:t>(5)</w:t>
      </w:r>
      <w:r w:rsidR="002B14DC">
        <w:t xml:space="preserve">, pp. </w:t>
      </w:r>
      <w:r w:rsidR="002B14DC" w:rsidRPr="002B14DC">
        <w:t>643-56</w:t>
      </w:r>
      <w:r w:rsidR="002B14DC">
        <w:t>.</w:t>
      </w:r>
      <w:r w:rsidR="002B14DC" w:rsidRPr="00990381">
        <w:t xml:space="preserve"> </w:t>
      </w:r>
      <w:r w:rsidR="002B14DC">
        <w:t>2013.</w:t>
      </w:r>
      <w:r w:rsidR="00990381" w:rsidRPr="00990381">
        <w:t xml:space="preserve"> </w:t>
      </w:r>
      <w:r w:rsidR="00990381">
        <w:t>DOI</w:t>
      </w:r>
      <w:r w:rsidR="002B14DC">
        <w:t>:</w:t>
      </w:r>
      <w:r w:rsidR="00990381">
        <w:t xml:space="preserve"> 10.1007/s10653-013-9547-6.</w:t>
      </w:r>
      <w:r w:rsidR="002B14DC">
        <w:t xml:space="preserve"> </w:t>
      </w:r>
    </w:p>
    <w:p w:rsidR="00990381" w:rsidRPr="00990381" w:rsidRDefault="00990381" w:rsidP="00990381">
      <w:pPr>
        <w:pStyle w:val="Reference"/>
        <w:tabs>
          <w:tab w:val="clear" w:pos="360"/>
          <w:tab w:val="num" w:pos="426"/>
        </w:tabs>
        <w:ind w:left="425" w:hanging="425"/>
      </w:pPr>
      <w:r w:rsidRPr="00990381">
        <w:t>Rékási M</w:t>
      </w:r>
      <w:r w:rsidR="002B14DC">
        <w:t>.</w:t>
      </w:r>
      <w:r w:rsidRPr="00990381">
        <w:t>, Feigl V</w:t>
      </w:r>
      <w:r w:rsidR="002B14DC">
        <w:t>.</w:t>
      </w:r>
      <w:r w:rsidRPr="00990381">
        <w:t>, Uzinger N</w:t>
      </w:r>
      <w:r w:rsidR="002B14DC">
        <w:t>.</w:t>
      </w:r>
      <w:r w:rsidRPr="00990381">
        <w:t>, Gruiz K</w:t>
      </w:r>
      <w:r w:rsidR="002B14DC">
        <w:t>.</w:t>
      </w:r>
      <w:r w:rsidRPr="00990381">
        <w:t>, Makó A</w:t>
      </w:r>
      <w:r w:rsidR="002B14DC">
        <w:t>.</w:t>
      </w:r>
      <w:r w:rsidRPr="00990381">
        <w:t>, Anton A</w:t>
      </w:r>
      <w:r w:rsidR="002B14DC">
        <w:t>.</w:t>
      </w:r>
      <w:r w:rsidRPr="00990381">
        <w:t xml:space="preserve">, Effects of leaching from alkaline red mud on soil biota: modelling the conditions after the Hungarian red mud disaster, </w:t>
      </w:r>
      <w:r w:rsidRPr="002B14DC">
        <w:rPr>
          <w:i/>
        </w:rPr>
        <w:t>Chem Ecol</w:t>
      </w:r>
      <w:r w:rsidRPr="00990381">
        <w:t xml:space="preserve"> </w:t>
      </w:r>
      <w:r w:rsidR="002B14DC" w:rsidRPr="002B14DC">
        <w:rPr>
          <w:b/>
        </w:rPr>
        <w:t>29</w:t>
      </w:r>
      <w:r w:rsidR="002B14DC">
        <w:t>(8), pp. 709-723. 2013.</w:t>
      </w:r>
      <w:r w:rsidRPr="00990381">
        <w:t xml:space="preserve"> DOI</w:t>
      </w:r>
      <w:r w:rsidR="002B14DC">
        <w:t xml:space="preserve">: </w:t>
      </w:r>
      <w:r w:rsidRPr="00990381">
        <w:t xml:space="preserve"> 10.1080/02757540.2013.817568.</w:t>
      </w:r>
    </w:p>
    <w:p w:rsidR="00990381" w:rsidRPr="00990381" w:rsidRDefault="00990381" w:rsidP="00990381">
      <w:pPr>
        <w:pStyle w:val="Reference"/>
        <w:tabs>
          <w:tab w:val="clear" w:pos="360"/>
          <w:tab w:val="num" w:pos="426"/>
        </w:tabs>
        <w:ind w:left="425" w:hanging="425"/>
      </w:pPr>
      <w:r w:rsidRPr="00990381">
        <w:t>Ruyters S</w:t>
      </w:r>
      <w:r w:rsidR="002B14DC">
        <w:t>.</w:t>
      </w:r>
      <w:r w:rsidRPr="00990381">
        <w:t>, Mertens J</w:t>
      </w:r>
      <w:r w:rsidR="002B14DC">
        <w:t>.</w:t>
      </w:r>
      <w:r w:rsidRPr="00990381">
        <w:t>, Vassilieva E</w:t>
      </w:r>
      <w:r w:rsidR="002B14DC">
        <w:t>.</w:t>
      </w:r>
      <w:r w:rsidRPr="00990381">
        <w:t>, Dehandschutter B</w:t>
      </w:r>
      <w:r w:rsidR="002B14DC">
        <w:t>.</w:t>
      </w:r>
      <w:r w:rsidRPr="00990381">
        <w:t>, Poffijn A</w:t>
      </w:r>
      <w:r w:rsidR="002B14DC">
        <w:t>.</w:t>
      </w:r>
      <w:r w:rsidRPr="00990381">
        <w:t>, Smolders E</w:t>
      </w:r>
      <w:r w:rsidR="002B14DC">
        <w:t>.</w:t>
      </w:r>
      <w:r w:rsidRPr="00990381">
        <w:t xml:space="preserve">, The Red Mud Accident in Ajka (Hungary): Plant Toxicity and Trace Metal Bioavailability in Red Mud Contaminated Soil, </w:t>
      </w:r>
      <w:r w:rsidRPr="002B14DC">
        <w:rPr>
          <w:i/>
        </w:rPr>
        <w:t>Environ Sci Technol</w:t>
      </w:r>
      <w:r w:rsidRPr="00990381">
        <w:t xml:space="preserve"> </w:t>
      </w:r>
      <w:r w:rsidR="002B14DC" w:rsidRPr="002B14DC">
        <w:rPr>
          <w:b/>
        </w:rPr>
        <w:t>45</w:t>
      </w:r>
      <w:r w:rsidR="002B14DC" w:rsidRPr="002B14DC">
        <w:t>(4), pp</w:t>
      </w:r>
      <w:r w:rsidR="002B14DC">
        <w:t>.</w:t>
      </w:r>
      <w:r w:rsidR="002B14DC" w:rsidRPr="002B14DC">
        <w:t xml:space="preserve"> 1616–1622</w:t>
      </w:r>
      <w:r w:rsidR="002B14DC">
        <w:t>.</w:t>
      </w:r>
      <w:r w:rsidR="002B14DC" w:rsidRPr="00990381">
        <w:t xml:space="preserve"> </w:t>
      </w:r>
      <w:r w:rsidR="002B14DC">
        <w:t>2011.</w:t>
      </w:r>
      <w:r w:rsidRPr="00990381">
        <w:t xml:space="preserve"> DOI</w:t>
      </w:r>
      <w:r w:rsidR="002B14DC">
        <w:t>:</w:t>
      </w:r>
      <w:r w:rsidRPr="00990381">
        <w:t> 10.1021/es104000m.</w:t>
      </w:r>
    </w:p>
    <w:p w:rsidR="00990381" w:rsidRPr="00990381" w:rsidRDefault="00990381" w:rsidP="00990381">
      <w:pPr>
        <w:pStyle w:val="Reference"/>
        <w:tabs>
          <w:tab w:val="clear" w:pos="360"/>
          <w:tab w:val="num" w:pos="426"/>
        </w:tabs>
        <w:ind w:left="425" w:hanging="425"/>
      </w:pPr>
      <w:r w:rsidRPr="00990381">
        <w:t>Gruiz K</w:t>
      </w:r>
      <w:r w:rsidR="002B14DC">
        <w:t>.</w:t>
      </w:r>
      <w:r w:rsidRPr="00990381">
        <w:t>, Vaszita E</w:t>
      </w:r>
      <w:r w:rsidR="002B14DC">
        <w:t>.</w:t>
      </w:r>
      <w:r w:rsidRPr="00990381">
        <w:t>, Siki Z</w:t>
      </w:r>
      <w:r w:rsidR="002B14DC">
        <w:t>.</w:t>
      </w:r>
      <w:r w:rsidRPr="00990381">
        <w:t xml:space="preserve">,  Environmental risk management of mining sites with diffuse pollution, </w:t>
      </w:r>
      <w:r w:rsidRPr="002B14DC">
        <w:rPr>
          <w:i/>
        </w:rPr>
        <w:t>Conference proceedings CD of 9th international FZK/TNO conference on soil-water systems</w:t>
      </w:r>
      <w:r w:rsidRPr="00990381">
        <w:t xml:space="preserve"> (Annokkée G</w:t>
      </w:r>
      <w:r w:rsidR="002B14DC">
        <w:t>.</w:t>
      </w:r>
      <w:r w:rsidRPr="00990381">
        <w:t>J</w:t>
      </w:r>
      <w:r w:rsidR="002B14DC">
        <w:t>.</w:t>
      </w:r>
      <w:r w:rsidRPr="00990381">
        <w:t>, Arendt F</w:t>
      </w:r>
      <w:r w:rsidR="002B14DC">
        <w:t>.</w:t>
      </w:r>
      <w:r w:rsidRPr="00990381">
        <w:t>, Uhlmann O</w:t>
      </w:r>
      <w:r w:rsidR="002B14DC">
        <w:t>.</w:t>
      </w:r>
      <w:r w:rsidRPr="00990381">
        <w:t xml:space="preserve"> </w:t>
      </w:r>
      <w:r w:rsidR="002B14DC">
        <w:t>(Eds</w:t>
      </w:r>
      <w:r w:rsidRPr="00990381">
        <w:t>)</w:t>
      </w:r>
      <w:r w:rsidR="002B14DC">
        <w:t>)</w:t>
      </w:r>
      <w:r w:rsidRPr="00990381">
        <w:t>, 3–7 October 2005, Karlsruhe: Forschungszentrum K</w:t>
      </w:r>
      <w:r w:rsidR="002B14DC">
        <w:t>arlsruhe.</w:t>
      </w:r>
      <w:r w:rsidRPr="00990381">
        <w:t xml:space="preserve"> Bordeaux, France, pp. 2568–2574.</w:t>
      </w:r>
      <w:r w:rsidR="002B14DC" w:rsidRPr="002B14DC">
        <w:t xml:space="preserve"> </w:t>
      </w:r>
      <w:r w:rsidR="002B14DC" w:rsidRPr="00990381">
        <w:t>2005</w:t>
      </w:r>
      <w:r w:rsidR="002B14DC">
        <w:t>.</w:t>
      </w:r>
    </w:p>
    <w:p w:rsidR="00990381" w:rsidRPr="00990381" w:rsidRDefault="00990381" w:rsidP="00990381">
      <w:pPr>
        <w:pStyle w:val="Reference"/>
        <w:tabs>
          <w:tab w:val="clear" w:pos="360"/>
          <w:tab w:val="num" w:pos="426"/>
        </w:tabs>
        <w:ind w:left="425" w:hanging="425"/>
      </w:pPr>
      <w:r w:rsidRPr="00990381">
        <w:t>Gruiz K</w:t>
      </w:r>
      <w:r w:rsidR="002B14DC">
        <w:t>.</w:t>
      </w:r>
      <w:r w:rsidRPr="00990381">
        <w:t>, Molnár M</w:t>
      </w:r>
      <w:r w:rsidR="002B14DC">
        <w:t>.</w:t>
      </w:r>
      <w:r w:rsidRPr="00990381">
        <w:t>, Feigl V</w:t>
      </w:r>
      <w:r w:rsidR="002B14DC">
        <w:t>.</w:t>
      </w:r>
      <w:r w:rsidRPr="00990381">
        <w:t xml:space="preserve">, Measuring adverse effects of contaminated soil using interactive and dynamic test methods, </w:t>
      </w:r>
      <w:r w:rsidRPr="002B14DC">
        <w:rPr>
          <w:i/>
        </w:rPr>
        <w:t>Land Cont Recl</w:t>
      </w:r>
      <w:r w:rsidR="002B14DC">
        <w:t xml:space="preserve"> </w:t>
      </w:r>
      <w:r w:rsidR="002B14DC" w:rsidRPr="002B14DC">
        <w:rPr>
          <w:b/>
          <w:i/>
        </w:rPr>
        <w:t>17</w:t>
      </w:r>
      <w:r w:rsidR="002B14DC">
        <w:t>(3–4)</w:t>
      </w:r>
      <w:r w:rsidRPr="00990381">
        <w:t xml:space="preserve">, </w:t>
      </w:r>
      <w:r w:rsidR="002B14DC">
        <w:t xml:space="preserve">pp. </w:t>
      </w:r>
      <w:r w:rsidRPr="00990381">
        <w:t>443–459.</w:t>
      </w:r>
      <w:r w:rsidR="002B14DC" w:rsidRPr="002B14DC">
        <w:t xml:space="preserve"> </w:t>
      </w:r>
      <w:r w:rsidR="002B14DC" w:rsidRPr="00990381">
        <w:t>2009b</w:t>
      </w:r>
      <w:r w:rsidR="002B14DC">
        <w:t>.</w:t>
      </w:r>
    </w:p>
    <w:p w:rsidR="00990381" w:rsidRPr="00990381" w:rsidRDefault="00990381" w:rsidP="00990381">
      <w:pPr>
        <w:pStyle w:val="Reference"/>
        <w:tabs>
          <w:tab w:val="clear" w:pos="360"/>
          <w:tab w:val="num" w:pos="426"/>
        </w:tabs>
        <w:ind w:left="425" w:hanging="425"/>
      </w:pPr>
      <w:r w:rsidRPr="00990381">
        <w:t>Benedetti A</w:t>
      </w:r>
      <w:r w:rsidR="002B14DC">
        <w:t>.</w:t>
      </w:r>
      <w:r w:rsidRPr="00990381">
        <w:t>, Dilly O</w:t>
      </w:r>
      <w:r w:rsidR="002B14DC">
        <w:t>., Introduction. In:</w:t>
      </w:r>
      <w:r w:rsidRPr="00990381">
        <w:t xml:space="preserve"> </w:t>
      </w:r>
      <w:r w:rsidRPr="002B14DC">
        <w:rPr>
          <w:i/>
        </w:rPr>
        <w:t>Microbial methods for assesing soil quality</w:t>
      </w:r>
      <w:r w:rsidRPr="00990381">
        <w:t xml:space="preserve"> (Bloem J</w:t>
      </w:r>
      <w:r w:rsidR="002B14DC">
        <w:t>.</w:t>
      </w:r>
      <w:r w:rsidRPr="00990381">
        <w:t>, Hopkins D</w:t>
      </w:r>
      <w:r w:rsidR="002B14DC">
        <w:t>.</w:t>
      </w:r>
      <w:r w:rsidRPr="00990381">
        <w:t>W</w:t>
      </w:r>
      <w:r w:rsidR="002B14DC">
        <w:t>.</w:t>
      </w:r>
      <w:r w:rsidRPr="00990381">
        <w:t>, Benedetti A</w:t>
      </w:r>
      <w:r w:rsidR="002B14DC">
        <w:t>.</w:t>
      </w:r>
      <w:r w:rsidRPr="00990381">
        <w:t xml:space="preserve"> </w:t>
      </w:r>
      <w:r w:rsidR="002B14DC">
        <w:t>(Eds</w:t>
      </w:r>
      <w:r w:rsidRPr="00990381">
        <w:t>)</w:t>
      </w:r>
      <w:r w:rsidR="002B14DC">
        <w:t xml:space="preserve">), </w:t>
      </w:r>
      <w:r w:rsidR="002B14DC" w:rsidRPr="00990381">
        <w:t>pp. 3-15.</w:t>
      </w:r>
      <w:r w:rsidR="002B14DC" w:rsidRPr="002B14DC">
        <w:t xml:space="preserve"> </w:t>
      </w:r>
      <w:r w:rsidR="002B14DC">
        <w:t>CABI Publishing, Wallingford.</w:t>
      </w:r>
      <w:r w:rsidRPr="00990381">
        <w:t xml:space="preserve"> </w:t>
      </w:r>
      <w:r w:rsidR="002B14DC" w:rsidRPr="00990381">
        <w:t>2006</w:t>
      </w:r>
      <w:r w:rsidR="002B14DC">
        <w:t>.</w:t>
      </w:r>
    </w:p>
    <w:p w:rsidR="00990381" w:rsidRPr="00990381" w:rsidRDefault="00990381" w:rsidP="00990381">
      <w:pPr>
        <w:pStyle w:val="Reference"/>
        <w:tabs>
          <w:tab w:val="clear" w:pos="360"/>
          <w:tab w:val="num" w:pos="426"/>
        </w:tabs>
        <w:ind w:left="425" w:hanging="425"/>
      </w:pPr>
      <w:r w:rsidRPr="00990381">
        <w:t>Leitgib L</w:t>
      </w:r>
      <w:r w:rsidR="002B14DC">
        <w:t>.</w:t>
      </w:r>
      <w:r w:rsidRPr="00990381">
        <w:t>, Kálmán J</w:t>
      </w:r>
      <w:r w:rsidR="002B14DC">
        <w:t>.</w:t>
      </w:r>
      <w:r w:rsidRPr="00990381">
        <w:t>, Gruiz K</w:t>
      </w:r>
      <w:r w:rsidR="002B14DC">
        <w:t>.</w:t>
      </w:r>
      <w:r w:rsidRPr="00990381">
        <w:t xml:space="preserve">, Comparison of bioassays by testing whole soil and their water extract from contaminated sites, </w:t>
      </w:r>
      <w:r w:rsidRPr="002B14DC">
        <w:rPr>
          <w:i/>
        </w:rPr>
        <w:t>Chemosphere</w:t>
      </w:r>
      <w:r w:rsidR="002B14DC">
        <w:t xml:space="preserve"> </w:t>
      </w:r>
      <w:r w:rsidR="002B14DC" w:rsidRPr="002B14DC">
        <w:rPr>
          <w:b/>
        </w:rPr>
        <w:t>66</w:t>
      </w:r>
      <w:r w:rsidR="002B14DC">
        <w:t>(3) pp.</w:t>
      </w:r>
      <w:r w:rsidRPr="00990381">
        <w:t xml:space="preserve"> 428–434.</w:t>
      </w:r>
      <w:r w:rsidR="002B14DC" w:rsidRPr="002B14DC">
        <w:t xml:space="preserve"> </w:t>
      </w:r>
      <w:r w:rsidR="002B14DC" w:rsidRPr="00990381">
        <w:t>2007</w:t>
      </w:r>
      <w:r w:rsidR="002B14DC">
        <w:t>.</w:t>
      </w:r>
    </w:p>
    <w:p w:rsidR="00990381" w:rsidRPr="00990381" w:rsidRDefault="00990381" w:rsidP="00990381">
      <w:pPr>
        <w:pStyle w:val="Reference"/>
        <w:tabs>
          <w:tab w:val="clear" w:pos="360"/>
          <w:tab w:val="num" w:pos="426"/>
        </w:tabs>
        <w:ind w:left="425" w:hanging="425"/>
      </w:pPr>
      <w:r w:rsidRPr="00990381">
        <w:t>Wiles J</w:t>
      </w:r>
      <w:r w:rsidR="002B14DC">
        <w:t>.</w:t>
      </w:r>
      <w:r w:rsidRPr="00990381">
        <w:t>A</w:t>
      </w:r>
      <w:r w:rsidR="002B14DC">
        <w:t>.</w:t>
      </w:r>
      <w:r w:rsidRPr="00990381">
        <w:t>, Krogh P</w:t>
      </w:r>
      <w:r w:rsidR="002B14DC">
        <w:t>.</w:t>
      </w:r>
      <w:r w:rsidRPr="00990381">
        <w:t>H</w:t>
      </w:r>
      <w:r w:rsidR="002B14DC">
        <w:t>.</w:t>
      </w:r>
      <w:r w:rsidRPr="00990381">
        <w:t xml:space="preserve">, Tests with the Collembolans Isotoma viridis, </w:t>
      </w:r>
      <w:r w:rsidRPr="00201660">
        <w:rPr>
          <w:i/>
        </w:rPr>
        <w:t>Folsomia</w:t>
      </w:r>
      <w:r w:rsidR="002B14DC" w:rsidRPr="00201660">
        <w:rPr>
          <w:i/>
        </w:rPr>
        <w:t xml:space="preserve"> candida</w:t>
      </w:r>
      <w:r w:rsidR="002B14DC">
        <w:t xml:space="preserve"> and </w:t>
      </w:r>
      <w:r w:rsidR="002B14DC" w:rsidRPr="00201660">
        <w:rPr>
          <w:i/>
        </w:rPr>
        <w:t>Folsomia fimetaria</w:t>
      </w:r>
      <w:r w:rsidR="002B14DC">
        <w:t>. In:</w:t>
      </w:r>
      <w:r w:rsidRPr="00990381">
        <w:t xml:space="preserve"> </w:t>
      </w:r>
      <w:r w:rsidRPr="002B14DC">
        <w:rPr>
          <w:i/>
        </w:rPr>
        <w:t>Handbook of soil invertebrate toxicity tests</w:t>
      </w:r>
      <w:r w:rsidRPr="00990381">
        <w:t xml:space="preserve"> (Lokke H</w:t>
      </w:r>
      <w:r w:rsidR="002B14DC">
        <w:t>.</w:t>
      </w:r>
      <w:r w:rsidRPr="00990381">
        <w:t>, Van Gestel C</w:t>
      </w:r>
      <w:r w:rsidR="002B14DC">
        <w:t>.</w:t>
      </w:r>
      <w:r w:rsidRPr="00990381">
        <w:t>A</w:t>
      </w:r>
      <w:r w:rsidR="002B14DC">
        <w:t>.</w:t>
      </w:r>
      <w:r w:rsidRPr="00990381">
        <w:t>M</w:t>
      </w:r>
      <w:r w:rsidR="002B14DC">
        <w:t>.</w:t>
      </w:r>
      <w:r w:rsidRPr="00990381">
        <w:t xml:space="preserve"> </w:t>
      </w:r>
      <w:r w:rsidR="002B14DC">
        <w:t>(Eds)</w:t>
      </w:r>
      <w:r w:rsidRPr="00990381">
        <w:t xml:space="preserve">), </w:t>
      </w:r>
      <w:r w:rsidR="002B14DC" w:rsidRPr="00990381">
        <w:t>pp. 131–156.</w:t>
      </w:r>
      <w:r w:rsidR="002B14DC">
        <w:t xml:space="preserve"> John Wiley &amp; Sons, Chichester. 1998.</w:t>
      </w:r>
      <w:r w:rsidRPr="00990381">
        <w:t xml:space="preserve"> </w:t>
      </w:r>
    </w:p>
    <w:p w:rsidR="00990381" w:rsidRPr="00990381" w:rsidRDefault="00990381" w:rsidP="00990381">
      <w:pPr>
        <w:pStyle w:val="Reference"/>
        <w:tabs>
          <w:tab w:val="clear" w:pos="360"/>
          <w:tab w:val="num" w:pos="426"/>
        </w:tabs>
        <w:ind w:left="425" w:hanging="425"/>
      </w:pPr>
      <w:r w:rsidRPr="00990381">
        <w:t>Burke I</w:t>
      </w:r>
      <w:r w:rsidR="002B14DC">
        <w:t>.</w:t>
      </w:r>
      <w:r w:rsidRPr="00990381">
        <w:t>T</w:t>
      </w:r>
      <w:r w:rsidR="002B14DC">
        <w:t>.</w:t>
      </w:r>
      <w:r w:rsidRPr="00990381">
        <w:t>, Mayes W</w:t>
      </w:r>
      <w:r w:rsidR="002B14DC">
        <w:t>.</w:t>
      </w:r>
      <w:r w:rsidRPr="00990381">
        <w:t>M</w:t>
      </w:r>
      <w:r w:rsidR="002B14DC">
        <w:t>.</w:t>
      </w:r>
      <w:r w:rsidRPr="00990381">
        <w:t>, Peacock C</w:t>
      </w:r>
      <w:r w:rsidR="002B14DC">
        <w:t>.</w:t>
      </w:r>
      <w:r w:rsidRPr="00990381">
        <w:t>L</w:t>
      </w:r>
      <w:r w:rsidR="002B14DC">
        <w:t>.</w:t>
      </w:r>
      <w:r w:rsidRPr="00990381">
        <w:t>, Brown A</w:t>
      </w:r>
      <w:r w:rsidR="002B14DC">
        <w:t>.</w:t>
      </w:r>
      <w:r w:rsidRPr="00990381">
        <w:t>P</w:t>
      </w:r>
      <w:r w:rsidR="002B14DC">
        <w:t>.</w:t>
      </w:r>
      <w:r w:rsidRPr="00990381">
        <w:t>, Jarvis A</w:t>
      </w:r>
      <w:r w:rsidR="002B14DC">
        <w:t>.</w:t>
      </w:r>
      <w:r w:rsidRPr="00990381">
        <w:t>P</w:t>
      </w:r>
      <w:r w:rsidR="002B14DC">
        <w:t>.</w:t>
      </w:r>
      <w:r w:rsidRPr="00990381">
        <w:t>, Gruiz K</w:t>
      </w:r>
      <w:r w:rsidR="002B14DC">
        <w:t>.</w:t>
      </w:r>
      <w:r w:rsidRPr="00990381">
        <w:t xml:space="preserve">, Speciation of Arsenic, Chromium, and Vanadium in Red Mud Samples from the Ajka Spill Site, Hungary, </w:t>
      </w:r>
      <w:r w:rsidRPr="002B14DC">
        <w:rPr>
          <w:i/>
        </w:rPr>
        <w:t>Environ Sci Technol</w:t>
      </w:r>
      <w:r w:rsidR="002B14DC">
        <w:t xml:space="preserve"> </w:t>
      </w:r>
      <w:r w:rsidR="002B14DC" w:rsidRPr="002B14DC">
        <w:rPr>
          <w:b/>
        </w:rPr>
        <w:t>46</w:t>
      </w:r>
      <w:r w:rsidR="002B14DC">
        <w:t>(6) pp.</w:t>
      </w:r>
      <w:r w:rsidRPr="00990381">
        <w:t xml:space="preserve"> 3085</w:t>
      </w:r>
      <w:r w:rsidRPr="00990381">
        <w:rPr>
          <w:rFonts w:hint="eastAsia"/>
        </w:rPr>
        <w:t>−</w:t>
      </w:r>
      <w:r w:rsidRPr="00990381">
        <w:t>3092.</w:t>
      </w:r>
      <w:r w:rsidR="002B14DC" w:rsidRPr="002B14DC">
        <w:t xml:space="preserve"> </w:t>
      </w:r>
      <w:r w:rsidR="002B14DC" w:rsidRPr="00990381">
        <w:t>2012</w:t>
      </w:r>
      <w:r w:rsidR="002B14DC">
        <w:t>.</w:t>
      </w:r>
    </w:p>
    <w:p w:rsidR="00990381" w:rsidRPr="00990381" w:rsidRDefault="00990381" w:rsidP="00990381">
      <w:pPr>
        <w:pStyle w:val="Reference"/>
        <w:tabs>
          <w:tab w:val="clear" w:pos="360"/>
          <w:tab w:val="num" w:pos="426"/>
        </w:tabs>
        <w:ind w:left="425" w:hanging="425"/>
      </w:pPr>
      <w:r w:rsidRPr="00990381">
        <w:t>Wang S</w:t>
      </w:r>
      <w:r w:rsidR="002B14DC">
        <w:t>.</w:t>
      </w:r>
      <w:r w:rsidRPr="00990381">
        <w:t>B</w:t>
      </w:r>
      <w:r w:rsidR="002B14DC">
        <w:t>.</w:t>
      </w:r>
      <w:r w:rsidRPr="00990381">
        <w:t>, Ang H</w:t>
      </w:r>
      <w:r w:rsidR="002B14DC">
        <w:t>.</w:t>
      </w:r>
      <w:r w:rsidRPr="00990381">
        <w:t>M</w:t>
      </w:r>
      <w:r w:rsidR="002B14DC">
        <w:t>.</w:t>
      </w:r>
      <w:r w:rsidRPr="00990381">
        <w:t>, Tade M</w:t>
      </w:r>
      <w:r w:rsidR="002B14DC">
        <w:t>.</w:t>
      </w:r>
      <w:r w:rsidRPr="00990381">
        <w:t>O</w:t>
      </w:r>
      <w:r w:rsidR="002B14DC">
        <w:t>.</w:t>
      </w:r>
      <w:r w:rsidRPr="00990381">
        <w:t xml:space="preserve">, Novel applications of red mud as coagulant, adsorbent and catalyst for environmentally benign processes, </w:t>
      </w:r>
      <w:r w:rsidRPr="002B14DC">
        <w:rPr>
          <w:i/>
        </w:rPr>
        <w:t xml:space="preserve">Chemosphere </w:t>
      </w:r>
      <w:r w:rsidR="002B14DC" w:rsidRPr="002B14DC">
        <w:rPr>
          <w:b/>
        </w:rPr>
        <w:t>72</w:t>
      </w:r>
      <w:r w:rsidR="002B14DC">
        <w:t>(11) pp.</w:t>
      </w:r>
      <w:r w:rsidRPr="00990381">
        <w:t xml:space="preserve"> 1621–1635.</w:t>
      </w:r>
      <w:r w:rsidR="002B14DC" w:rsidRPr="002B14DC">
        <w:t xml:space="preserve"> </w:t>
      </w:r>
      <w:r w:rsidR="002B14DC" w:rsidRPr="00990381">
        <w:t>2008</w:t>
      </w:r>
      <w:r w:rsidR="002B14DC">
        <w:t>.</w:t>
      </w:r>
    </w:p>
    <w:p w:rsidR="00990381" w:rsidRPr="00990381" w:rsidRDefault="00990381" w:rsidP="00990381">
      <w:pPr>
        <w:pStyle w:val="Reference"/>
        <w:tabs>
          <w:tab w:val="clear" w:pos="360"/>
          <w:tab w:val="num" w:pos="426"/>
        </w:tabs>
        <w:ind w:left="425" w:hanging="425"/>
      </w:pPr>
      <w:r w:rsidRPr="00990381">
        <w:t>Stefanovits P</w:t>
      </w:r>
      <w:r w:rsidR="002B14DC">
        <w:t>., Soil Sience.</w:t>
      </w:r>
      <w:r w:rsidRPr="00990381">
        <w:t xml:space="preserve"> Mezőgazda Publisher, Budapest (In Hungarian)</w:t>
      </w:r>
      <w:r w:rsidR="002B14DC">
        <w:t>. 1999</w:t>
      </w:r>
      <w:r w:rsidRPr="00990381">
        <w:t>.</w:t>
      </w:r>
    </w:p>
    <w:p w:rsidR="00990381" w:rsidRPr="00990381" w:rsidRDefault="00990381" w:rsidP="00990381">
      <w:pPr>
        <w:pStyle w:val="Reference"/>
        <w:tabs>
          <w:tab w:val="clear" w:pos="360"/>
          <w:tab w:val="num" w:pos="426"/>
        </w:tabs>
        <w:ind w:left="425" w:hanging="425"/>
      </w:pPr>
      <w:r w:rsidRPr="00990381">
        <w:t>Castaldi P</w:t>
      </w:r>
      <w:r w:rsidR="002B14DC">
        <w:t>.</w:t>
      </w:r>
      <w:r w:rsidRPr="00990381">
        <w:t>, Melis P</w:t>
      </w:r>
      <w:r w:rsidR="002B14DC">
        <w:t>.</w:t>
      </w:r>
      <w:r w:rsidRPr="00990381">
        <w:t>, Silvetti M</w:t>
      </w:r>
      <w:r w:rsidR="002B14DC">
        <w:t>.</w:t>
      </w:r>
      <w:r w:rsidRPr="00990381">
        <w:t>, Deiana P</w:t>
      </w:r>
      <w:r w:rsidR="002B14DC">
        <w:t>.</w:t>
      </w:r>
      <w:r w:rsidRPr="00990381">
        <w:t>, Garau G</w:t>
      </w:r>
      <w:r w:rsidR="002B14DC">
        <w:t>.</w:t>
      </w:r>
      <w:r w:rsidRPr="00990381">
        <w:t xml:space="preserve">, Influence of pea and wheat growth on Pb, Cd, and Zn mobility and soil biological status in a polluted amended soil, </w:t>
      </w:r>
      <w:r w:rsidRPr="002B14DC">
        <w:rPr>
          <w:i/>
        </w:rPr>
        <w:t>Geod</w:t>
      </w:r>
      <w:r w:rsidRPr="00990381">
        <w:t xml:space="preserve"> </w:t>
      </w:r>
      <w:r w:rsidRPr="002B14DC">
        <w:rPr>
          <w:b/>
        </w:rPr>
        <w:t>151</w:t>
      </w:r>
      <w:r w:rsidRPr="00990381">
        <w:t>(3-4)</w:t>
      </w:r>
      <w:r w:rsidR="002B14DC">
        <w:t>, pp.</w:t>
      </w:r>
      <w:r w:rsidRPr="00990381">
        <w:t xml:space="preserve"> 241–248.</w:t>
      </w:r>
      <w:r w:rsidR="002B14DC" w:rsidRPr="002B14DC">
        <w:t xml:space="preserve"> </w:t>
      </w:r>
      <w:r w:rsidR="002B14DC" w:rsidRPr="00990381">
        <w:t>2009</w:t>
      </w:r>
      <w:r w:rsidR="002B14DC">
        <w:t>.</w:t>
      </w:r>
    </w:p>
    <w:p w:rsidR="00990381" w:rsidRPr="00990381" w:rsidRDefault="00990381" w:rsidP="00990381">
      <w:pPr>
        <w:pStyle w:val="Reference"/>
        <w:tabs>
          <w:tab w:val="clear" w:pos="360"/>
          <w:tab w:val="num" w:pos="426"/>
        </w:tabs>
        <w:ind w:left="425" w:hanging="425"/>
      </w:pPr>
      <w:r w:rsidRPr="00990381">
        <w:t>Klebercz O</w:t>
      </w:r>
      <w:r w:rsidR="002B14DC">
        <w:t>.</w:t>
      </w:r>
      <w:r w:rsidRPr="00990381">
        <w:t>, Mayes W</w:t>
      </w:r>
      <w:r w:rsidR="002B14DC">
        <w:t>.</w:t>
      </w:r>
      <w:r w:rsidRPr="00990381">
        <w:t>M</w:t>
      </w:r>
      <w:r w:rsidR="002B14DC">
        <w:t>.</w:t>
      </w:r>
      <w:r w:rsidRPr="00990381">
        <w:t>, Anton Á</w:t>
      </w:r>
      <w:r w:rsidR="002B14DC">
        <w:t>.</w:t>
      </w:r>
      <w:r w:rsidRPr="00990381">
        <w:t>D</w:t>
      </w:r>
      <w:r w:rsidR="002B14DC">
        <w:t>.</w:t>
      </w:r>
      <w:r w:rsidRPr="00990381">
        <w:t>, Feigl V</w:t>
      </w:r>
      <w:r w:rsidR="002B14DC">
        <w:t>.</w:t>
      </w:r>
      <w:r w:rsidRPr="00990381">
        <w:t>, Jarvisc Á</w:t>
      </w:r>
      <w:r w:rsidR="002B14DC">
        <w:t>.</w:t>
      </w:r>
      <w:r w:rsidRPr="00990381">
        <w:t>P</w:t>
      </w:r>
      <w:r w:rsidR="002B14DC">
        <w:t>.</w:t>
      </w:r>
      <w:r w:rsidRPr="00990381">
        <w:t>, Gruiz K</w:t>
      </w:r>
      <w:r w:rsidR="002B14DC">
        <w:t>.</w:t>
      </w:r>
      <w:r w:rsidRPr="00990381">
        <w:t xml:space="preserve">,  Ecotoxicity of fluvial sediments downstream of the Ajka red mud spill, Hungary, </w:t>
      </w:r>
      <w:r w:rsidRPr="002B14DC">
        <w:rPr>
          <w:i/>
        </w:rPr>
        <w:t>J Environ Monit</w:t>
      </w:r>
      <w:r w:rsidRPr="00990381">
        <w:t xml:space="preserve"> </w:t>
      </w:r>
      <w:r w:rsidR="00525F8B" w:rsidRPr="00525F8B">
        <w:rPr>
          <w:b/>
        </w:rPr>
        <w:t>14</w:t>
      </w:r>
      <w:r w:rsidR="00525F8B">
        <w:t xml:space="preserve">(8), pp. </w:t>
      </w:r>
      <w:r w:rsidR="00525F8B" w:rsidRPr="00525F8B">
        <w:t>2063-</w:t>
      </w:r>
      <w:r w:rsidR="00525F8B">
        <w:t>20</w:t>
      </w:r>
      <w:r w:rsidR="00525F8B" w:rsidRPr="00525F8B">
        <w:t>71</w:t>
      </w:r>
      <w:r w:rsidR="00525F8B">
        <w:t>.</w:t>
      </w:r>
      <w:r w:rsidR="00525F8B" w:rsidRPr="00990381">
        <w:t xml:space="preserve"> </w:t>
      </w:r>
      <w:r w:rsidR="00525F8B">
        <w:t>2002.</w:t>
      </w:r>
      <w:r w:rsidRPr="00990381">
        <w:t xml:space="preserve"> DOI</w:t>
      </w:r>
      <w:r w:rsidR="00525F8B">
        <w:t>:</w:t>
      </w:r>
      <w:r w:rsidRPr="00990381">
        <w:t> </w:t>
      </w:r>
      <w:hyperlink r:id="rId27" w:tgtFrame="_blank" w:tooltip="Link to landing page via DOI" w:history="1">
        <w:r w:rsidRPr="00990381">
          <w:t>10.1039/C2EM30155E</w:t>
        </w:r>
      </w:hyperlink>
      <w:r w:rsidRPr="00990381">
        <w:t>.</w:t>
      </w:r>
    </w:p>
    <w:p w:rsidR="000E430A" w:rsidRPr="00201660" w:rsidRDefault="00990381" w:rsidP="00201660">
      <w:pPr>
        <w:pStyle w:val="Reference"/>
        <w:tabs>
          <w:tab w:val="clear" w:pos="360"/>
          <w:tab w:val="num" w:pos="426"/>
        </w:tabs>
        <w:ind w:left="425" w:hanging="425"/>
        <w:sectPr w:rsidR="000E430A" w:rsidRPr="00201660" w:rsidSect="00757E72">
          <w:pgSz w:w="11909" w:h="16834"/>
          <w:pgMar w:top="1134" w:right="1134" w:bottom="1134" w:left="1134" w:header="708" w:footer="708" w:gutter="0"/>
          <w:cols w:num="2" w:space="285"/>
          <w:noEndnote/>
          <w:docGrid w:linePitch="272"/>
        </w:sectPr>
      </w:pPr>
      <w:r w:rsidRPr="00990381">
        <w:t>Winkler D</w:t>
      </w:r>
      <w:r w:rsidR="00525F8B">
        <w:t>.</w:t>
      </w:r>
      <w:r w:rsidRPr="00990381">
        <w:t xml:space="preserve">, Collembolan response to red mud pollution in Western Hungary, </w:t>
      </w:r>
      <w:r w:rsidRPr="00525F8B">
        <w:rPr>
          <w:i/>
        </w:rPr>
        <w:t>Applied Soil Ecology</w:t>
      </w:r>
      <w:r w:rsidRPr="00990381">
        <w:t xml:space="preserve">, </w:t>
      </w:r>
      <w:r w:rsidR="00525F8B" w:rsidRPr="00525F8B">
        <w:rPr>
          <w:b/>
        </w:rPr>
        <w:t>83</w:t>
      </w:r>
      <w:r w:rsidR="00525F8B">
        <w:t>, pp. 219-229. 2013.</w:t>
      </w:r>
      <w:r w:rsidRPr="00990381">
        <w:t xml:space="preserve">  DOI</w:t>
      </w:r>
      <w:r w:rsidR="00525F8B">
        <w:t>:</w:t>
      </w:r>
      <w:r w:rsidR="00201660">
        <w:t xml:space="preserve"> 10.1016/j.apsoil.2013.07.00</w:t>
      </w:r>
    </w:p>
    <w:p w:rsidR="00464E92" w:rsidRPr="00536BCE" w:rsidRDefault="00464E92" w:rsidP="000E430A">
      <w:pPr>
        <w:widowControl/>
        <w:ind w:firstLine="0"/>
      </w:pPr>
    </w:p>
    <w:sectPr w:rsidR="00464E92" w:rsidRPr="00536BCE" w:rsidSect="00201660">
      <w:type w:val="continuous"/>
      <w:pgSz w:w="11909" w:h="16834"/>
      <w:pgMar w:top="1134" w:right="1134" w:bottom="1134" w:left="1134" w:header="708" w:footer="708" w:gutter="0"/>
      <w:cols w:num="2" w:space="285"/>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37" w:rsidRDefault="00771637" w:rsidP="00BF14D1">
      <w:r>
        <w:separator/>
      </w:r>
    </w:p>
  </w:endnote>
  <w:endnote w:type="continuationSeparator" w:id="0">
    <w:p w:rsidR="00771637" w:rsidRDefault="00771637" w:rsidP="00BF1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00002FF" w:usb1="4000A47B"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98" w:rsidRPr="00085F8C" w:rsidRDefault="00044D98" w:rsidP="00085F8C">
    <w:pPr>
      <w:pStyle w:val="llb"/>
      <w:tabs>
        <w:tab w:val="clear" w:pos="9072"/>
        <w:tab w:val="right" w:pos="9639"/>
      </w:tabs>
      <w:spacing w:before="60"/>
      <w:ind w:right="-1038"/>
      <w:jc w:val="right"/>
    </w:pPr>
    <w:r w:rsidRPr="002B67DF">
      <w:rPr>
        <w:rFonts w:ascii="Arial" w:hAnsi="Arial" w:cs="Arial"/>
        <w:noProof/>
        <w:sz w:val="16"/>
        <w:szCs w:val="16"/>
      </w:rPr>
      <w:pict>
        <v:shapetype id="_x0000_t202" coordsize="21600,21600" o:spt="202" path="m,l,21600r21600,l21600,xe">
          <v:stroke joinstyle="miter"/>
          <v:path gradientshapeok="t" o:connecttype="rect"/>
        </v:shapetype>
        <v:shape id="_x0000_s2059" type="#_x0000_t202" style="position:absolute;left:0;text-align:left;margin-left:288.4pt;margin-top:-4.7pt;width:51pt;height:32.1pt;z-index:251660288" filled="f" stroked="f">
          <v:textbox style="mso-next-textbox:#_x0000_s2059">
            <w:txbxContent>
              <w:p w:rsidR="00044D98" w:rsidRPr="00C57A7E" w:rsidRDefault="00044D98" w:rsidP="00085F8C">
                <w:pPr>
                  <w:spacing w:before="60"/>
                  <w:jc w:val="right"/>
                  <w:rPr>
                    <w:rFonts w:ascii="Arial" w:hAnsi="Arial" w:cs="Arial"/>
                    <w:bCs/>
                    <w:spacing w:val="-6"/>
                    <w:sz w:val="16"/>
                    <w:szCs w:val="16"/>
                  </w:rPr>
                </w:pPr>
                <w:r>
                  <w:rPr>
                    <w:rFonts w:ascii="Arial" w:hAnsi="Arial" w:cs="Arial"/>
                    <w:noProof/>
                    <w:sz w:val="16"/>
                    <w:szCs w:val="16"/>
                  </w:rPr>
                  <w:t>201x xx x</w:t>
                </w:r>
              </w:p>
            </w:txbxContent>
          </v:textbox>
        </v:shape>
      </w:pict>
    </w:r>
    <w:r w:rsidRPr="002B67DF">
      <w:rPr>
        <w:rFonts w:ascii="Arial" w:hAnsi="Arial" w:cs="Arial"/>
        <w:noProof/>
        <w:sz w:val="16"/>
        <w:szCs w:val="16"/>
      </w:rPr>
      <w:pict>
        <v:shape id="_x0000_s2058" type="#_x0000_t202" style="position:absolute;left:0;text-align:left;margin-left:-10.6pt;margin-top:-4.7pt;width:294.5pt;height:32.1pt;z-index:251659264" filled="f" stroked="f">
          <v:textbox style="mso-next-textbox:#_x0000_s2058">
            <w:txbxContent>
              <w:p w:rsidR="00044D98" w:rsidRPr="00C57A7E" w:rsidRDefault="00044D98" w:rsidP="00085F8C">
                <w:pPr>
                  <w:spacing w:before="60"/>
                  <w:rPr>
                    <w:rFonts w:ascii="Arial" w:hAnsi="Arial" w:cs="Arial"/>
                    <w:bCs/>
                    <w:spacing w:val="-6"/>
                    <w:sz w:val="16"/>
                    <w:szCs w:val="16"/>
                    <w:lang w:val="en-US"/>
                  </w:rPr>
                </w:pPr>
                <w:r w:rsidRPr="00DC375D">
                  <w:rPr>
                    <w:rFonts w:ascii="Arial" w:hAnsi="Arial" w:cs="Arial"/>
                    <w:noProof/>
                    <w:sz w:val="16"/>
                    <w:szCs w:val="16"/>
                    <w:lang w:val="en-US"/>
                  </w:rPr>
                  <w:t>Paper Title (</w:t>
                </w:r>
                <w:r w:rsidRPr="00DC375D">
                  <w:rPr>
                    <w:rFonts w:ascii="Arial" w:hAnsi="Arial" w:cs="Arial"/>
                    <w:bCs/>
                    <w:spacing w:val="-6"/>
                    <w:sz w:val="16"/>
                    <w:szCs w:val="16"/>
                    <w:lang w:val="en-US"/>
                  </w:rPr>
                  <w:t>Arial size: 8)</w:t>
                </w:r>
              </w:p>
            </w:txbxContent>
          </v:textbox>
        </v:shape>
      </w:pict>
    </w:r>
    <w:r w:rsidRPr="002B67DF">
      <w:rPr>
        <w:rFonts w:ascii="Arial" w:hAnsi="Arial" w:cs="Arial"/>
        <w:noProof/>
        <w:sz w:val="16"/>
        <w:szCs w:val="16"/>
      </w:rPr>
      <w:pict>
        <v:line id="_x0000_s2057" style="position:absolute;left:0;text-align:left;z-index:251658240;mso-position-horizontal-relative:margin" from="339.4pt,-1.15pt" to="339.4pt,15.85pt" o:allowincell="f" strokeweight=".7pt">
          <w10:wrap anchorx="margin"/>
        </v:line>
      </w:pict>
    </w:r>
    <w:r w:rsidRPr="002B67DF">
      <w:rPr>
        <w:rFonts w:ascii="Arial" w:hAnsi="Arial" w:cs="Arial"/>
        <w:noProof/>
        <w:sz w:val="16"/>
        <w:szCs w:val="16"/>
        <w:lang w:val="en-US"/>
      </w:rPr>
      <w:pict>
        <v:line id="_x0000_s2056" style="position:absolute;left:0;text-align:left;z-index:251657216;mso-position-horizontal-relative:margin" from="-15.8pt,-1.15pt" to="503.55pt,-1.15pt" o:allowincell="f" strokeweight=".95pt">
          <w10:wrap anchorx="margin"/>
        </v:line>
      </w:pic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Pr>
        <w:rFonts w:ascii="Arial" w:hAnsi="Arial" w:cs="Arial"/>
        <w:b/>
        <w:noProof/>
        <w:sz w:val="16"/>
      </w:rPr>
      <w:t>1</w:t>
    </w:r>
    <w:r w:rsidRPr="00C57A7E">
      <w:rPr>
        <w:rFonts w:ascii="Arial" w:hAnsi="Arial"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98" w:rsidRPr="00C57A7E" w:rsidRDefault="00044D98" w:rsidP="00085F8C">
    <w:pPr>
      <w:pStyle w:val="llb"/>
      <w:tabs>
        <w:tab w:val="clear" w:pos="9072"/>
        <w:tab w:val="right" w:pos="9639"/>
      </w:tabs>
      <w:spacing w:before="60"/>
      <w:ind w:right="2"/>
      <w:jc w:val="right"/>
    </w:pPr>
    <w:r w:rsidRPr="002B67DF">
      <w:rPr>
        <w:rFonts w:ascii="Arial" w:hAnsi="Arial" w:cs="Arial"/>
        <w:noProof/>
        <w:sz w:val="16"/>
        <w:szCs w:val="16"/>
      </w:rPr>
      <w:pict>
        <v:shapetype id="_x0000_t202" coordsize="21600,21600" o:spt="202" path="m,l,21600r21600,l21600,xe">
          <v:stroke joinstyle="miter"/>
          <v:path gradientshapeok="t" o:connecttype="rect"/>
        </v:shapetype>
        <v:shape id="_x0000_s2055" type="#_x0000_t202" style="position:absolute;left:0;text-align:left;margin-left:274.35pt;margin-top:-4.7pt;width:84pt;height:32.1pt;z-index:251656192" filled="f" stroked="f">
          <v:textbox style="mso-next-textbox:#_x0000_s2055">
            <w:txbxContent>
              <w:p w:rsidR="00044D98" w:rsidRPr="00C57A7E" w:rsidRDefault="00044D98" w:rsidP="00C57A7E">
                <w:pPr>
                  <w:spacing w:before="60"/>
                  <w:jc w:val="right"/>
                  <w:rPr>
                    <w:rFonts w:ascii="Arial" w:hAnsi="Arial" w:cs="Arial"/>
                    <w:bCs/>
                    <w:spacing w:val="-6"/>
                    <w:sz w:val="16"/>
                    <w:szCs w:val="16"/>
                  </w:rPr>
                </w:pPr>
                <w:r>
                  <w:rPr>
                    <w:rFonts w:ascii="Arial" w:hAnsi="Arial" w:cs="Arial"/>
                    <w:noProof/>
                    <w:sz w:val="16"/>
                    <w:szCs w:val="16"/>
                  </w:rPr>
                  <w:t>year Vol(No)</w:t>
                </w:r>
              </w:p>
            </w:txbxContent>
          </v:textbox>
        </v:shape>
      </w:pict>
    </w:r>
    <w:r w:rsidRPr="002B67DF">
      <w:rPr>
        <w:rFonts w:ascii="Arial" w:hAnsi="Arial" w:cs="Arial"/>
        <w:noProof/>
        <w:sz w:val="16"/>
        <w:szCs w:val="16"/>
      </w:rPr>
      <w:pict>
        <v:shape id="_x0000_s2054" type="#_x0000_t202" style="position:absolute;left:0;text-align:left;margin-left:-10.6pt;margin-top:-4.7pt;width:294.5pt;height:32.1pt;z-index:251655168" filled="f" stroked="f">
          <v:textbox style="mso-next-textbox:#_x0000_s2054">
            <w:txbxContent>
              <w:p w:rsidR="00044D98" w:rsidRPr="00C57A7E" w:rsidRDefault="00044D98" w:rsidP="00C57A7E">
                <w:pPr>
                  <w:spacing w:before="60"/>
                  <w:rPr>
                    <w:rFonts w:ascii="Arial" w:hAnsi="Arial" w:cs="Arial"/>
                    <w:bCs/>
                    <w:spacing w:val="-6"/>
                    <w:sz w:val="16"/>
                    <w:szCs w:val="16"/>
                    <w:lang w:val="en-US"/>
                  </w:rPr>
                </w:pPr>
                <w:r>
                  <w:rPr>
                    <w:rFonts w:ascii="Arial" w:hAnsi="Arial" w:cs="Arial"/>
                    <w:noProof/>
                    <w:sz w:val="16"/>
                    <w:szCs w:val="16"/>
                    <w:lang w:val="en-US"/>
                  </w:rPr>
                  <w:t xml:space="preserve">Begin of </w:t>
                </w:r>
                <w:r w:rsidRPr="00DC375D">
                  <w:rPr>
                    <w:rFonts w:ascii="Arial" w:hAnsi="Arial" w:cs="Arial"/>
                    <w:noProof/>
                    <w:sz w:val="16"/>
                    <w:szCs w:val="16"/>
                    <w:lang w:val="en-US"/>
                  </w:rPr>
                  <w:t xml:space="preserve">Paper Title </w:t>
                </w:r>
              </w:p>
            </w:txbxContent>
          </v:textbox>
        </v:shape>
      </w:pict>
    </w:r>
    <w:r w:rsidRPr="002B67DF">
      <w:rPr>
        <w:rFonts w:ascii="Arial" w:hAnsi="Arial" w:cs="Arial"/>
        <w:noProof/>
        <w:sz w:val="16"/>
        <w:szCs w:val="16"/>
      </w:rPr>
      <w:pict>
        <v:line id="_x0000_s2053" style="position:absolute;left:0;text-align:left;z-index:251654144;mso-position-horizontal-relative:margin" from="339.4pt,-1.15pt" to="339.4pt,15.85pt" o:allowincell="f" strokeweight=".7pt">
          <w10:wrap anchorx="margin"/>
        </v:line>
      </w:pict>
    </w:r>
    <w:r w:rsidRPr="002B67DF">
      <w:rPr>
        <w:rFonts w:ascii="Arial" w:hAnsi="Arial" w:cs="Arial"/>
        <w:noProof/>
        <w:sz w:val="16"/>
        <w:szCs w:val="16"/>
        <w:lang w:val="en-US"/>
      </w:rPr>
      <w:pict>
        <v:line id="_x0000_s2052" style="position:absolute;left:0;text-align:left;z-index:251653120;mso-position-horizontal-relative:margin" from="-15.8pt,-1.15pt" to="503.55pt,-1.15pt" o:allowincell="f" strokeweight=".95pt">
          <w10:wrap anchorx="margin"/>
        </v:line>
      </w:pic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sidR="00771637">
      <w:rPr>
        <w:rFonts w:ascii="Arial" w:hAnsi="Arial" w:cs="Arial"/>
        <w:b/>
        <w:noProof/>
        <w:sz w:val="16"/>
      </w:rPr>
      <w:t>1</w:t>
    </w:r>
    <w:r w:rsidRPr="00C57A7E">
      <w:rPr>
        <w:rFonts w:ascii="Arial" w:hAnsi="Arial" w:cs="Arial"/>
        <w:b/>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98" w:rsidRPr="00085F8C" w:rsidRDefault="00044D98" w:rsidP="00085F8C">
    <w:pPr>
      <w:pStyle w:val="llb"/>
      <w:tabs>
        <w:tab w:val="clear" w:pos="9072"/>
        <w:tab w:val="right" w:pos="9639"/>
      </w:tabs>
      <w:spacing w:before="60"/>
      <w:ind w:right="-1038"/>
    </w:pPr>
    <w:r w:rsidRPr="002B67DF">
      <w:rPr>
        <w:rFonts w:ascii="Arial" w:hAnsi="Arial" w:cs="Arial"/>
        <w:noProof/>
        <w:sz w:val="16"/>
        <w:szCs w:val="16"/>
      </w:rPr>
      <w:pict>
        <v:shapetype id="_x0000_t202" coordsize="21600,21600" o:spt="202" path="m,l,21600r21600,l21600,xe">
          <v:stroke joinstyle="miter"/>
          <v:path gradientshapeok="t" o:connecttype="rect"/>
        </v:shapetype>
        <v:shape id="_x0000_s2063" type="#_x0000_t202" style="position:absolute;left:0;text-align:left;margin-left:141.3pt;margin-top:-4.7pt;width:109.05pt;height:32.1pt;z-index:251663360" filled="f" stroked="f">
          <v:textbox style="mso-next-textbox:#_x0000_s2063">
            <w:txbxContent>
              <w:p w:rsidR="00044D98" w:rsidRPr="00C57A7E" w:rsidRDefault="00044D98" w:rsidP="00085F8C">
                <w:pPr>
                  <w:spacing w:before="60"/>
                  <w:rPr>
                    <w:rFonts w:ascii="Arial" w:hAnsi="Arial" w:cs="Arial"/>
                    <w:bCs/>
                    <w:spacing w:val="-6"/>
                    <w:sz w:val="16"/>
                    <w:szCs w:val="16"/>
                  </w:rPr>
                </w:pPr>
                <w:r>
                  <w:rPr>
                    <w:rFonts w:ascii="Arial" w:hAnsi="Arial" w:cs="Arial"/>
                    <w:noProof/>
                    <w:sz w:val="16"/>
                    <w:szCs w:val="16"/>
                  </w:rPr>
                  <w:t xml:space="preserve">Per. Pol. Transp. </w:t>
                </w:r>
                <w:smartTag w:uri="urn:schemas-microsoft-com:office:smarttags" w:element="place">
                  <w:smartTag w:uri="urn:schemas-microsoft-com:office:smarttags" w:element="country-region">
                    <w:r>
                      <w:rPr>
                        <w:rFonts w:ascii="Arial" w:hAnsi="Arial" w:cs="Arial"/>
                        <w:noProof/>
                        <w:sz w:val="16"/>
                        <w:szCs w:val="16"/>
                      </w:rPr>
                      <w:t>Eng.</w:t>
                    </w:r>
                  </w:smartTag>
                </w:smartTag>
              </w:p>
            </w:txbxContent>
          </v:textbox>
        </v:shape>
      </w:pict>
    </w:r>
    <w:r w:rsidRPr="002B67DF">
      <w:rPr>
        <w:rFonts w:ascii="Arial" w:hAnsi="Arial" w:cs="Arial"/>
        <w:noProof/>
        <w:sz w:val="16"/>
        <w:szCs w:val="16"/>
      </w:rPr>
      <w:pict>
        <v:line id="_x0000_s2061" style="position:absolute;left:0;text-align:left;z-index:251662336;mso-position-horizontal-relative:margin" from="141.3pt,-1.15pt" to="141.3pt,15.85pt" o:allowincell="f" strokeweight=".7pt">
          <w10:wrap anchorx="margin"/>
        </v:line>
      </w:pict>
    </w:r>
    <w:r w:rsidRPr="002B67DF">
      <w:rPr>
        <w:rFonts w:ascii="Arial" w:hAnsi="Arial" w:cs="Arial"/>
        <w:noProof/>
        <w:sz w:val="16"/>
        <w:szCs w:val="16"/>
      </w:rPr>
      <w:pict>
        <v:shape id="_x0000_s2062" type="#_x0000_t202" style="position:absolute;left:0;text-align:left;margin-left:1516.4pt;margin-top:-4.7pt;width:294.5pt;height:32.1pt;z-index:251652096;mso-position-horizontal:right;mso-position-horizontal-relative:margin" filled="f" stroked="f">
          <v:textbox style="mso-next-textbox:#_x0000_s2062">
            <w:txbxContent>
              <w:p w:rsidR="00044D98" w:rsidRPr="00085F8C" w:rsidRDefault="00044D98" w:rsidP="00E51B7F">
                <w:pPr>
                  <w:spacing w:before="60"/>
                  <w:ind w:right="-71"/>
                  <w:jc w:val="right"/>
                  <w:rPr>
                    <w:rFonts w:ascii="Arial" w:hAnsi="Arial" w:cs="Arial"/>
                    <w:bCs/>
                    <w:spacing w:val="-6"/>
                    <w:sz w:val="16"/>
                    <w:szCs w:val="16"/>
                    <w:lang w:val="en-US"/>
                  </w:rPr>
                </w:pPr>
                <w:r w:rsidRPr="00085F8C">
                  <w:rPr>
                    <w:rFonts w:ascii="Arial" w:hAnsi="Arial" w:cs="Arial"/>
                    <w:i/>
                    <w:noProof/>
                    <w:sz w:val="16"/>
                    <w:szCs w:val="16"/>
                    <w:lang w:val="en-US"/>
                  </w:rPr>
                  <w:t>First A. Author</w:t>
                </w:r>
                <w:r>
                  <w:rPr>
                    <w:rFonts w:ascii="Arial" w:hAnsi="Arial" w:cs="Arial"/>
                    <w:noProof/>
                    <w:sz w:val="16"/>
                    <w:szCs w:val="16"/>
                    <w:lang w:val="en-US"/>
                  </w:rPr>
                  <w:t xml:space="preserve">, </w:t>
                </w:r>
                <w:r w:rsidRPr="00085F8C">
                  <w:rPr>
                    <w:rFonts w:ascii="Arial" w:hAnsi="Arial" w:cs="Arial"/>
                    <w:i/>
                    <w:noProof/>
                    <w:sz w:val="16"/>
                    <w:szCs w:val="16"/>
                    <w:lang w:val="en-US"/>
                  </w:rPr>
                  <w:t>Second B. Author</w:t>
                </w:r>
              </w:p>
            </w:txbxContent>
          </v:textbox>
          <w10:wrap anchorx="margin"/>
        </v:shape>
      </w:pict>
    </w:r>
    <w:r w:rsidRPr="002B67DF">
      <w:rPr>
        <w:rFonts w:ascii="Arial" w:hAnsi="Arial" w:cs="Arial"/>
        <w:noProof/>
        <w:sz w:val="16"/>
        <w:szCs w:val="16"/>
        <w:lang w:val="en-US"/>
      </w:rPr>
      <w:pict>
        <v:line id="_x0000_s2060" style="position:absolute;left:0;text-align:left;z-index:251661312;mso-position-horizontal-relative:margin" from="-15.8pt,-1.15pt" to="503.55pt,-1.15pt" o:allowincell="f" strokeweight=".95pt">
          <w10:wrap anchorx="margin"/>
        </v:line>
      </w:pict>
    </w:r>
    <w:r w:rsidRPr="00C57A7E">
      <w:rPr>
        <w:rFonts w:ascii="Arial" w:hAnsi="Arial" w:cs="Arial"/>
        <w:b/>
        <w:sz w:val="16"/>
      </w:rPr>
      <w:fldChar w:fldCharType="begin"/>
    </w:r>
    <w:r w:rsidRPr="00C57A7E">
      <w:rPr>
        <w:rFonts w:ascii="Arial" w:hAnsi="Arial" w:cs="Arial"/>
        <w:b/>
        <w:sz w:val="16"/>
      </w:rPr>
      <w:instrText>PAGE   \* MERGEFORMAT</w:instrText>
    </w:r>
    <w:r w:rsidRPr="00C57A7E">
      <w:rPr>
        <w:rFonts w:ascii="Arial" w:hAnsi="Arial" w:cs="Arial"/>
        <w:b/>
        <w:sz w:val="16"/>
      </w:rPr>
      <w:fldChar w:fldCharType="separate"/>
    </w:r>
    <w:r w:rsidR="00283937">
      <w:rPr>
        <w:rFonts w:ascii="Arial" w:hAnsi="Arial" w:cs="Arial"/>
        <w:b/>
        <w:noProof/>
        <w:sz w:val="16"/>
      </w:rPr>
      <w:t>2</w:t>
    </w:r>
    <w:r w:rsidRPr="00C57A7E">
      <w:rPr>
        <w:rFonts w:ascii="Arial" w:hAnsi="Arial" w:cs="Arial"/>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37" w:rsidRDefault="00771637" w:rsidP="00BF14D1">
      <w:r>
        <w:separator/>
      </w:r>
    </w:p>
  </w:footnote>
  <w:footnote w:type="continuationSeparator" w:id="0">
    <w:p w:rsidR="00771637" w:rsidRDefault="00771637" w:rsidP="00BF1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98" w:rsidRPr="00995F19" w:rsidRDefault="00044D98" w:rsidP="00995F19">
    <w:pPr>
      <w:pStyle w:val="lfej"/>
      <w:jc w:val="right"/>
      <w:rPr>
        <w:i/>
      </w:rPr>
    </w:pPr>
    <w:r>
      <w:rPr>
        <w:i/>
        <w:lang w:val="hu-HU"/>
      </w:rPr>
      <w:t xml:space="preserve"> </w:t>
    </w:r>
    <w:r w:rsidRPr="00677090">
      <w:rPr>
        <w:i/>
        <w:lang w:val="hu-HU"/>
      </w:rPr>
      <w:t>Environment</w:t>
    </w:r>
    <w:r>
      <w:rPr>
        <w:i/>
        <w:lang w:val="hu-HU"/>
      </w:rPr>
      <w:t>al toxicity assessment of the</w:t>
    </w:r>
    <w:r w:rsidRPr="00677090">
      <w:rPr>
        <w:i/>
        <w:lang w:val="hu-HU"/>
      </w:rPr>
      <w:t xml:space="preserve"> red mud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500F18"/>
    <w:lvl w:ilvl="0">
      <w:start w:val="1"/>
      <w:numFmt w:val="decimal"/>
      <w:lvlText w:val="%1."/>
      <w:lvlJc w:val="left"/>
      <w:pPr>
        <w:tabs>
          <w:tab w:val="num" w:pos="1492"/>
        </w:tabs>
        <w:ind w:left="1492" w:hanging="360"/>
      </w:pPr>
    </w:lvl>
  </w:abstractNum>
  <w:abstractNum w:abstractNumId="1">
    <w:nsid w:val="FFFFFF7D"/>
    <w:multiLevelType w:val="singleLevel"/>
    <w:tmpl w:val="4FA4B46A"/>
    <w:lvl w:ilvl="0">
      <w:start w:val="1"/>
      <w:numFmt w:val="decimal"/>
      <w:lvlText w:val="%1."/>
      <w:lvlJc w:val="left"/>
      <w:pPr>
        <w:tabs>
          <w:tab w:val="num" w:pos="1209"/>
        </w:tabs>
        <w:ind w:left="1209" w:hanging="360"/>
      </w:pPr>
    </w:lvl>
  </w:abstractNum>
  <w:abstractNum w:abstractNumId="2">
    <w:nsid w:val="FFFFFF7E"/>
    <w:multiLevelType w:val="singleLevel"/>
    <w:tmpl w:val="D702E30E"/>
    <w:lvl w:ilvl="0">
      <w:start w:val="1"/>
      <w:numFmt w:val="decimal"/>
      <w:lvlText w:val="%1."/>
      <w:lvlJc w:val="left"/>
      <w:pPr>
        <w:tabs>
          <w:tab w:val="num" w:pos="926"/>
        </w:tabs>
        <w:ind w:left="926" w:hanging="360"/>
      </w:pPr>
    </w:lvl>
  </w:abstractNum>
  <w:abstractNum w:abstractNumId="3">
    <w:nsid w:val="FFFFFF7F"/>
    <w:multiLevelType w:val="singleLevel"/>
    <w:tmpl w:val="70909F68"/>
    <w:lvl w:ilvl="0">
      <w:start w:val="1"/>
      <w:numFmt w:val="decimal"/>
      <w:lvlText w:val="%1."/>
      <w:lvlJc w:val="left"/>
      <w:pPr>
        <w:tabs>
          <w:tab w:val="num" w:pos="643"/>
        </w:tabs>
        <w:ind w:left="643" w:hanging="360"/>
      </w:pPr>
    </w:lvl>
  </w:abstractNum>
  <w:abstractNum w:abstractNumId="4">
    <w:nsid w:val="FFFFFF80"/>
    <w:multiLevelType w:val="singleLevel"/>
    <w:tmpl w:val="7C58B1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E78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2E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5E8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309FC2"/>
    <w:lvl w:ilvl="0">
      <w:start w:val="1"/>
      <w:numFmt w:val="decimal"/>
      <w:lvlText w:val="%1."/>
      <w:lvlJc w:val="left"/>
      <w:pPr>
        <w:tabs>
          <w:tab w:val="num" w:pos="360"/>
        </w:tabs>
        <w:ind w:left="360" w:hanging="360"/>
      </w:pPr>
    </w:lvl>
  </w:abstractNum>
  <w:abstractNum w:abstractNumId="9">
    <w:nsid w:val="FFFFFF89"/>
    <w:multiLevelType w:val="singleLevel"/>
    <w:tmpl w:val="ED8E25B6"/>
    <w:lvl w:ilvl="0">
      <w:start w:val="1"/>
      <w:numFmt w:val="bullet"/>
      <w:lvlText w:val=""/>
      <w:lvlJc w:val="left"/>
      <w:pPr>
        <w:tabs>
          <w:tab w:val="num" w:pos="360"/>
        </w:tabs>
        <w:ind w:left="360" w:hanging="360"/>
      </w:pPr>
      <w:rPr>
        <w:rFonts w:ascii="Symbol" w:hAnsi="Symbol" w:hint="default"/>
      </w:rPr>
    </w:lvl>
  </w:abstractNum>
  <w:abstractNum w:abstractNumId="10">
    <w:nsid w:val="0120639E"/>
    <w:multiLevelType w:val="hybridMultilevel"/>
    <w:tmpl w:val="C29C7A5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06437AF9"/>
    <w:multiLevelType w:val="multilevel"/>
    <w:tmpl w:val="DBE21D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D433F1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56DF1"/>
    <w:multiLevelType w:val="multilevel"/>
    <w:tmpl w:val="5BF2AEAA"/>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4">
    <w:nsid w:val="262A4AD9"/>
    <w:multiLevelType w:val="multilevel"/>
    <w:tmpl w:val="D3785754"/>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850"/>
        </w:tabs>
        <w:ind w:left="1850"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5">
    <w:nsid w:val="272A3273"/>
    <w:multiLevelType w:val="multilevel"/>
    <w:tmpl w:val="6F60183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9ED12DF"/>
    <w:multiLevelType w:val="multilevel"/>
    <w:tmpl w:val="2C2626F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00" w:hanging="432"/>
      </w:pPr>
      <w:rPr>
        <w:rFonts w:hint="default"/>
        <w:b w:val="0"/>
        <w:color w:val="auto"/>
        <w:sz w:val="28"/>
      </w:rPr>
    </w:lvl>
    <w:lvl w:ilvl="2">
      <w:start w:val="1"/>
      <w:numFmt w:val="none"/>
      <w:lvlText w:val=""/>
      <w:lvlJc w:val="left"/>
      <w:pPr>
        <w:tabs>
          <w:tab w:val="num" w:pos="0"/>
        </w:tabs>
        <w:ind w:left="1224" w:hanging="504"/>
      </w:pPr>
      <w:rPr>
        <w:rFonts w:hint="default"/>
        <w:color w:val="FF0000"/>
      </w:rPr>
    </w:lvl>
    <w:lvl w:ilvl="3">
      <w:start w:val="1"/>
      <w:numFmt w:val="decimal"/>
      <w:lvlText w:val="%1.%2.%3.%4."/>
      <w:lvlJc w:val="left"/>
      <w:pPr>
        <w:tabs>
          <w:tab w:val="num" w:pos="0"/>
        </w:tabs>
        <w:ind w:left="1728" w:hanging="648"/>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16B1C5E"/>
    <w:multiLevelType w:val="multilevel"/>
    <w:tmpl w:val="1D6CFBD6"/>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850"/>
        </w:tabs>
        <w:ind w:left="1850"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8">
    <w:nsid w:val="328734B7"/>
    <w:multiLevelType w:val="multilevel"/>
    <w:tmpl w:val="F9386D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E0E660A"/>
    <w:multiLevelType w:val="multilevel"/>
    <w:tmpl w:val="429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353D3A"/>
    <w:multiLevelType w:val="hybridMultilevel"/>
    <w:tmpl w:val="9D0C4B78"/>
    <w:lvl w:ilvl="0" w:tplc="CB24CD24">
      <w:start w:val="1"/>
      <w:numFmt w:val="decimal"/>
      <w:pStyle w:val="FigureCaption"/>
      <w:lvlText w:val="Fig. %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21">
    <w:nsid w:val="42DB0B56"/>
    <w:multiLevelType w:val="multilevel"/>
    <w:tmpl w:val="000E745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83124C"/>
    <w:multiLevelType w:val="hybridMultilevel"/>
    <w:tmpl w:val="6F3023CE"/>
    <w:lvl w:ilvl="0" w:tplc="D9482BB2">
      <w:start w:val="1"/>
      <w:numFmt w:val="decimal"/>
      <w:pStyle w:val="TabCaption"/>
      <w:lvlText w:val="Table %1"/>
      <w:lvlJc w:val="left"/>
      <w:pPr>
        <w:tabs>
          <w:tab w:val="num" w:pos="1004"/>
        </w:tabs>
        <w:ind w:left="100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1E97AB1"/>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pStyle w:val="Cmsor2"/>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24">
    <w:nsid w:val="65BD5391"/>
    <w:multiLevelType w:val="hybridMultilevel"/>
    <w:tmpl w:val="469E8F96"/>
    <w:lvl w:ilvl="0" w:tplc="4EC44E8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B0C73D8"/>
    <w:multiLevelType w:val="multilevel"/>
    <w:tmpl w:val="040E001F"/>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CD5B51"/>
    <w:multiLevelType w:val="hybridMultilevel"/>
    <w:tmpl w:val="072C9B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6C2A52D4"/>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28">
    <w:nsid w:val="6DA4723E"/>
    <w:multiLevelType w:val="singleLevel"/>
    <w:tmpl w:val="841819DA"/>
    <w:lvl w:ilvl="0">
      <w:start w:val="1"/>
      <w:numFmt w:val="decimal"/>
      <w:lvlText w:val="%1"/>
      <w:legacy w:legacy="1" w:legacySpace="0" w:legacyIndent="202"/>
      <w:lvlJc w:val="left"/>
      <w:rPr>
        <w:rFonts w:ascii="Times New Roman" w:hAnsi="Times New Roman" w:cs="Times New Roman" w:hint="default"/>
        <w:b w:val="0"/>
      </w:rPr>
    </w:lvl>
  </w:abstractNum>
  <w:abstractNum w:abstractNumId="29">
    <w:nsid w:val="6FC5265E"/>
    <w:multiLevelType w:val="multilevel"/>
    <w:tmpl w:val="040E001F"/>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890E1F"/>
    <w:multiLevelType w:val="multilevel"/>
    <w:tmpl w:val="89505104"/>
    <w:lvl w:ilvl="0">
      <w:start w:val="1"/>
      <w:numFmt w:val="decimal"/>
      <w:lvlText w:val="Table %1 "/>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81F3C"/>
    <w:multiLevelType w:val="hybridMultilevel"/>
    <w:tmpl w:val="338CE984"/>
    <w:lvl w:ilvl="0" w:tplc="0CC06ACA">
      <w:start w:val="1"/>
      <w:numFmt w:val="decimal"/>
      <w:pStyle w:val="Reference"/>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9"/>
  </w:num>
  <w:num w:numId="14">
    <w:abstractNumId w:val="26"/>
  </w:num>
  <w:num w:numId="15">
    <w:abstractNumId w:val="25"/>
  </w:num>
  <w:num w:numId="16">
    <w:abstractNumId w:val="15"/>
  </w:num>
  <w:num w:numId="17">
    <w:abstractNumId w:val="18"/>
  </w:num>
  <w:num w:numId="18">
    <w:abstractNumId w:val="23"/>
  </w:num>
  <w:num w:numId="19">
    <w:abstractNumId w:val="16"/>
  </w:num>
  <w:num w:numId="20">
    <w:abstractNumId w:val="13"/>
  </w:num>
  <w:num w:numId="21">
    <w:abstractNumId w:val="17"/>
  </w:num>
  <w:num w:numId="22">
    <w:abstractNumId w:val="11"/>
  </w:num>
  <w:num w:numId="23">
    <w:abstractNumId w:val="14"/>
  </w:num>
  <w:num w:numId="24">
    <w:abstractNumId w:val="27"/>
  </w:num>
  <w:num w:numId="25">
    <w:abstractNumId w:val="24"/>
  </w:num>
  <w:num w:numId="26">
    <w:abstractNumId w:val="31"/>
  </w:num>
  <w:num w:numId="27">
    <w:abstractNumId w:val="21"/>
  </w:num>
  <w:num w:numId="28">
    <w:abstractNumId w:val="10"/>
  </w:num>
  <w:num w:numId="29">
    <w:abstractNumId w:val="22"/>
  </w:num>
  <w:num w:numId="30">
    <w:abstractNumId w:val="30"/>
  </w:num>
  <w:num w:numId="31">
    <w:abstractNumId w:val="25"/>
  </w:num>
  <w:num w:numId="32">
    <w:abstractNumId w:val="25"/>
  </w:num>
  <w:num w:numId="33">
    <w:abstractNumId w:val="12"/>
  </w:num>
  <w:num w:numId="34">
    <w:abstractNumId w:val="22"/>
  </w:num>
  <w:num w:numId="35">
    <w:abstractNumId w:val="29"/>
  </w:num>
  <w:num w:numId="36">
    <w:abstractNumId w:val="2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stylePaneFormatFilter w:val="300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2557B"/>
    <w:rsid w:val="0002141E"/>
    <w:rsid w:val="0002557B"/>
    <w:rsid w:val="00027F57"/>
    <w:rsid w:val="00041330"/>
    <w:rsid w:val="00041F06"/>
    <w:rsid w:val="00044D98"/>
    <w:rsid w:val="00055B9A"/>
    <w:rsid w:val="00085F8C"/>
    <w:rsid w:val="00093582"/>
    <w:rsid w:val="000B47BB"/>
    <w:rsid w:val="000D6CFE"/>
    <w:rsid w:val="000E430A"/>
    <w:rsid w:val="000E5F9D"/>
    <w:rsid w:val="00102D2C"/>
    <w:rsid w:val="00103407"/>
    <w:rsid w:val="00105130"/>
    <w:rsid w:val="00106488"/>
    <w:rsid w:val="00117B49"/>
    <w:rsid w:val="0014789F"/>
    <w:rsid w:val="00173F19"/>
    <w:rsid w:val="00177EDD"/>
    <w:rsid w:val="001B1034"/>
    <w:rsid w:val="001B122E"/>
    <w:rsid w:val="001B7244"/>
    <w:rsid w:val="001D3055"/>
    <w:rsid w:val="001E4338"/>
    <w:rsid w:val="001F5A6B"/>
    <w:rsid w:val="00201660"/>
    <w:rsid w:val="00202BAB"/>
    <w:rsid w:val="00217A3B"/>
    <w:rsid w:val="00222E6C"/>
    <w:rsid w:val="00254BEE"/>
    <w:rsid w:val="00274F94"/>
    <w:rsid w:val="00283937"/>
    <w:rsid w:val="002B14DC"/>
    <w:rsid w:val="002B572C"/>
    <w:rsid w:val="002B67DF"/>
    <w:rsid w:val="002C178A"/>
    <w:rsid w:val="002C17C8"/>
    <w:rsid w:val="002C3260"/>
    <w:rsid w:val="003766B7"/>
    <w:rsid w:val="00386218"/>
    <w:rsid w:val="0038697F"/>
    <w:rsid w:val="00397A8E"/>
    <w:rsid w:val="003B01E9"/>
    <w:rsid w:val="003B3879"/>
    <w:rsid w:val="003C6F36"/>
    <w:rsid w:val="003C7C17"/>
    <w:rsid w:val="003F4E8B"/>
    <w:rsid w:val="004007E0"/>
    <w:rsid w:val="00401DC0"/>
    <w:rsid w:val="00402DE8"/>
    <w:rsid w:val="004408B9"/>
    <w:rsid w:val="00464E92"/>
    <w:rsid w:val="00472A9C"/>
    <w:rsid w:val="00473FAF"/>
    <w:rsid w:val="004802A5"/>
    <w:rsid w:val="004820AB"/>
    <w:rsid w:val="00496CA1"/>
    <w:rsid w:val="004B748C"/>
    <w:rsid w:val="004C051F"/>
    <w:rsid w:val="004C7E0F"/>
    <w:rsid w:val="0050625F"/>
    <w:rsid w:val="00512AAC"/>
    <w:rsid w:val="00522711"/>
    <w:rsid w:val="00525F8B"/>
    <w:rsid w:val="00536BCE"/>
    <w:rsid w:val="00554EB9"/>
    <w:rsid w:val="00571A11"/>
    <w:rsid w:val="0058493C"/>
    <w:rsid w:val="005C2ED5"/>
    <w:rsid w:val="005F0886"/>
    <w:rsid w:val="00602137"/>
    <w:rsid w:val="0060217B"/>
    <w:rsid w:val="00677090"/>
    <w:rsid w:val="006C1935"/>
    <w:rsid w:val="006C74B5"/>
    <w:rsid w:val="0073370E"/>
    <w:rsid w:val="00757E72"/>
    <w:rsid w:val="00760CAA"/>
    <w:rsid w:val="00771637"/>
    <w:rsid w:val="007E0219"/>
    <w:rsid w:val="00812C96"/>
    <w:rsid w:val="008210A6"/>
    <w:rsid w:val="008235AC"/>
    <w:rsid w:val="008452BA"/>
    <w:rsid w:val="0084552C"/>
    <w:rsid w:val="0085658E"/>
    <w:rsid w:val="008D2779"/>
    <w:rsid w:val="008D4F7E"/>
    <w:rsid w:val="008D6C37"/>
    <w:rsid w:val="008F77F0"/>
    <w:rsid w:val="009006C1"/>
    <w:rsid w:val="00946A5F"/>
    <w:rsid w:val="00946C32"/>
    <w:rsid w:val="00946FE6"/>
    <w:rsid w:val="00947359"/>
    <w:rsid w:val="00952C69"/>
    <w:rsid w:val="00954FB8"/>
    <w:rsid w:val="00990381"/>
    <w:rsid w:val="00995F19"/>
    <w:rsid w:val="009B0C48"/>
    <w:rsid w:val="009B7900"/>
    <w:rsid w:val="009C5AD9"/>
    <w:rsid w:val="009D6C60"/>
    <w:rsid w:val="009D77D6"/>
    <w:rsid w:val="00A12027"/>
    <w:rsid w:val="00A24735"/>
    <w:rsid w:val="00A24BDB"/>
    <w:rsid w:val="00A6475F"/>
    <w:rsid w:val="00A85AFF"/>
    <w:rsid w:val="00A86B88"/>
    <w:rsid w:val="00A87C17"/>
    <w:rsid w:val="00A94318"/>
    <w:rsid w:val="00AB163D"/>
    <w:rsid w:val="00AC7E69"/>
    <w:rsid w:val="00B30696"/>
    <w:rsid w:val="00B309F6"/>
    <w:rsid w:val="00B30F96"/>
    <w:rsid w:val="00B61648"/>
    <w:rsid w:val="00B66982"/>
    <w:rsid w:val="00B82717"/>
    <w:rsid w:val="00B853C5"/>
    <w:rsid w:val="00BB3E44"/>
    <w:rsid w:val="00BD7A04"/>
    <w:rsid w:val="00BE006F"/>
    <w:rsid w:val="00BE69BC"/>
    <w:rsid w:val="00BF14D1"/>
    <w:rsid w:val="00BF29C3"/>
    <w:rsid w:val="00BF57C2"/>
    <w:rsid w:val="00C06ECE"/>
    <w:rsid w:val="00C103E6"/>
    <w:rsid w:val="00C446C3"/>
    <w:rsid w:val="00C45E41"/>
    <w:rsid w:val="00C503B3"/>
    <w:rsid w:val="00C57A7E"/>
    <w:rsid w:val="00C9011E"/>
    <w:rsid w:val="00C90585"/>
    <w:rsid w:val="00CD0073"/>
    <w:rsid w:val="00CD553D"/>
    <w:rsid w:val="00CE21BF"/>
    <w:rsid w:val="00CE6F26"/>
    <w:rsid w:val="00CE722D"/>
    <w:rsid w:val="00CF05AA"/>
    <w:rsid w:val="00CF0895"/>
    <w:rsid w:val="00CF1472"/>
    <w:rsid w:val="00D022E7"/>
    <w:rsid w:val="00D04943"/>
    <w:rsid w:val="00D2535F"/>
    <w:rsid w:val="00D304A1"/>
    <w:rsid w:val="00D37F72"/>
    <w:rsid w:val="00D75234"/>
    <w:rsid w:val="00DA292D"/>
    <w:rsid w:val="00DA57F9"/>
    <w:rsid w:val="00DC375D"/>
    <w:rsid w:val="00DD1495"/>
    <w:rsid w:val="00DE3AD8"/>
    <w:rsid w:val="00DE4336"/>
    <w:rsid w:val="00E07807"/>
    <w:rsid w:val="00E23436"/>
    <w:rsid w:val="00E45C48"/>
    <w:rsid w:val="00E51B7F"/>
    <w:rsid w:val="00E86BF5"/>
    <w:rsid w:val="00E964AB"/>
    <w:rsid w:val="00EB2823"/>
    <w:rsid w:val="00EB6A7F"/>
    <w:rsid w:val="00EB73A6"/>
    <w:rsid w:val="00EC485A"/>
    <w:rsid w:val="00EC4F4B"/>
    <w:rsid w:val="00EC6F23"/>
    <w:rsid w:val="00ED4D6D"/>
    <w:rsid w:val="00EE627A"/>
    <w:rsid w:val="00EF4316"/>
    <w:rsid w:val="00F10984"/>
    <w:rsid w:val="00F10CB8"/>
    <w:rsid w:val="00F24A2D"/>
    <w:rsid w:val="00F31EA2"/>
    <w:rsid w:val="00F84C4E"/>
    <w:rsid w:val="00F85873"/>
    <w:rsid w:val="00F9128A"/>
    <w:rsid w:val="00F92DBA"/>
    <w:rsid w:val="00F949EA"/>
    <w:rsid w:val="00FA40A0"/>
    <w:rsid w:val="00FC5678"/>
    <w:rsid w:val="00FD59FD"/>
    <w:rsid w:val="00FF6B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F0895"/>
    <w:pPr>
      <w:widowControl w:val="0"/>
      <w:autoSpaceDE w:val="0"/>
      <w:autoSpaceDN w:val="0"/>
      <w:adjustRightInd w:val="0"/>
      <w:spacing w:line="278" w:lineRule="exact"/>
      <w:ind w:firstLine="284"/>
      <w:jc w:val="both"/>
    </w:pPr>
    <w:rPr>
      <w:lang w:val="en-GB"/>
    </w:rPr>
  </w:style>
  <w:style w:type="paragraph" w:styleId="Cmsor1">
    <w:name w:val="heading 1"/>
    <w:basedOn w:val="Norml"/>
    <w:next w:val="Norml"/>
    <w:link w:val="Cmsor1Char"/>
    <w:qFormat/>
    <w:rsid w:val="00BE69BC"/>
    <w:pPr>
      <w:keepNext/>
      <w:tabs>
        <w:tab w:val="left" w:pos="284"/>
      </w:tabs>
      <w:spacing w:before="240" w:after="60"/>
      <w:ind w:firstLine="0"/>
      <w:outlineLvl w:val="0"/>
    </w:pPr>
    <w:rPr>
      <w:rFonts w:ascii="Arial" w:hAnsi="Arial" w:cs="Arial"/>
      <w:b/>
      <w:bCs/>
      <w:kern w:val="32"/>
      <w:sz w:val="22"/>
      <w:szCs w:val="22"/>
    </w:rPr>
  </w:style>
  <w:style w:type="paragraph" w:styleId="Cmsor2">
    <w:name w:val="heading 2"/>
    <w:basedOn w:val="Cmsor1"/>
    <w:next w:val="Norml"/>
    <w:qFormat/>
    <w:rsid w:val="00BF57C2"/>
    <w:pPr>
      <w:numPr>
        <w:ilvl w:val="1"/>
        <w:numId w:val="18"/>
      </w:numPr>
      <w:tabs>
        <w:tab w:val="clear" w:pos="284"/>
      </w:tabs>
      <w:outlineLvl w:val="1"/>
    </w:pPr>
    <w:rPr>
      <w:b w:val="0"/>
      <w:bCs w:val="0"/>
      <w:iCs/>
    </w:rPr>
  </w:style>
  <w:style w:type="paragraph" w:styleId="Cmsor3">
    <w:name w:val="heading 3"/>
    <w:basedOn w:val="Norml"/>
    <w:next w:val="Norml"/>
    <w:qFormat/>
    <w:rsid w:val="00CD553D"/>
    <w:pPr>
      <w:keepNext/>
      <w:spacing w:before="240" w:after="60"/>
      <w:ind w:firstLine="0"/>
      <w:outlineLvl w:val="2"/>
    </w:pPr>
    <w:rPr>
      <w:rFonts w:cs="Arial"/>
      <w:bCs/>
      <w:i/>
      <w:szCs w:val="26"/>
    </w:rPr>
  </w:style>
  <w:style w:type="paragraph" w:styleId="Cmsor4">
    <w:name w:val="heading 4"/>
    <w:basedOn w:val="Norml"/>
    <w:next w:val="Norml"/>
    <w:qFormat/>
    <w:rsid w:val="00CD553D"/>
    <w:pPr>
      <w:keepNext/>
      <w:spacing w:before="240" w:after="60"/>
      <w:ind w:firstLine="0"/>
      <w:outlineLvl w:val="3"/>
    </w:pPr>
    <w:rPr>
      <w:bCs/>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E69BC"/>
    <w:rPr>
      <w:rFonts w:ascii="Arial" w:hAnsi="Arial" w:cs="Arial"/>
      <w:b/>
      <w:bCs/>
      <w:kern w:val="32"/>
      <w:sz w:val="22"/>
      <w:szCs w:val="22"/>
      <w:lang w:val="en-GB"/>
    </w:rPr>
  </w:style>
  <w:style w:type="character" w:styleId="Hiperhivatkozs">
    <w:name w:val="Hyperlink"/>
    <w:rsid w:val="00DD1495"/>
    <w:rPr>
      <w:color w:val="0000FF"/>
      <w:u w:val="single"/>
    </w:rPr>
  </w:style>
  <w:style w:type="paragraph" w:styleId="lfej">
    <w:name w:val="header"/>
    <w:basedOn w:val="Norml"/>
    <w:link w:val="lfejChar"/>
    <w:rsid w:val="00BF14D1"/>
    <w:pPr>
      <w:tabs>
        <w:tab w:val="center" w:pos="4536"/>
        <w:tab w:val="right" w:pos="9072"/>
      </w:tabs>
    </w:pPr>
  </w:style>
  <w:style w:type="character" w:customStyle="1" w:styleId="lfejChar">
    <w:name w:val="Élőfej Char"/>
    <w:basedOn w:val="Bekezdsalapbettpusa"/>
    <w:link w:val="lfej"/>
    <w:rsid w:val="00BF14D1"/>
  </w:style>
  <w:style w:type="paragraph" w:styleId="llb">
    <w:name w:val="footer"/>
    <w:basedOn w:val="Norml"/>
    <w:link w:val="llbChar"/>
    <w:uiPriority w:val="99"/>
    <w:rsid w:val="00BF14D1"/>
    <w:pPr>
      <w:tabs>
        <w:tab w:val="center" w:pos="4536"/>
        <w:tab w:val="right" w:pos="9072"/>
      </w:tabs>
    </w:pPr>
  </w:style>
  <w:style w:type="character" w:customStyle="1" w:styleId="llbChar">
    <w:name w:val="Élőláb Char"/>
    <w:basedOn w:val="Bekezdsalapbettpusa"/>
    <w:link w:val="llb"/>
    <w:uiPriority w:val="99"/>
    <w:rsid w:val="00BF14D1"/>
  </w:style>
  <w:style w:type="paragraph" w:customStyle="1" w:styleId="Equation">
    <w:name w:val="Equation"/>
    <w:basedOn w:val="Norml"/>
    <w:next w:val="Norml"/>
    <w:rsid w:val="001D3055"/>
    <w:pPr>
      <w:tabs>
        <w:tab w:val="center" w:pos="2127"/>
        <w:tab w:val="right" w:pos="4678"/>
        <w:tab w:val="right" w:pos="5040"/>
      </w:tabs>
      <w:adjustRightInd/>
      <w:spacing w:before="120" w:after="120" w:line="252" w:lineRule="auto"/>
    </w:pPr>
    <w:rPr>
      <w:lang w:val="en-US" w:eastAsia="en-US"/>
    </w:rPr>
  </w:style>
  <w:style w:type="paragraph" w:styleId="Lbjegyzetszveg">
    <w:name w:val="footnote text"/>
    <w:basedOn w:val="Norml"/>
    <w:semiHidden/>
    <w:rsid w:val="0060217B"/>
  </w:style>
  <w:style w:type="paragraph" w:customStyle="1" w:styleId="Header1AbsKeywAckn">
    <w:name w:val="Header1: Abs_Keyw_Ackn"/>
    <w:basedOn w:val="Norml"/>
    <w:next w:val="Abstract"/>
    <w:link w:val="Header1AbsKeywAcknCharChar"/>
    <w:qFormat/>
    <w:rsid w:val="00CF0895"/>
    <w:pPr>
      <w:shd w:val="clear" w:color="auto" w:fill="FFFFFF"/>
      <w:spacing w:before="120"/>
      <w:ind w:firstLine="0"/>
    </w:pPr>
    <w:rPr>
      <w:b/>
      <w:bCs/>
      <w:i/>
      <w:iCs/>
      <w:spacing w:val="1"/>
      <w:lang w:val="en-US"/>
    </w:rPr>
  </w:style>
  <w:style w:type="paragraph" w:customStyle="1" w:styleId="Abstract">
    <w:name w:val="Abstract"/>
    <w:basedOn w:val="Norml"/>
    <w:link w:val="AbstractCharChar"/>
    <w:qFormat/>
    <w:rsid w:val="00CF0895"/>
    <w:pPr>
      <w:shd w:val="clear" w:color="auto" w:fill="FFFFFF"/>
      <w:ind w:firstLine="0"/>
    </w:pPr>
    <w:rPr>
      <w:i/>
      <w:iCs/>
      <w:spacing w:val="-1"/>
      <w:lang w:val="en-US"/>
    </w:rPr>
  </w:style>
  <w:style w:type="character" w:customStyle="1" w:styleId="AbstractCharChar">
    <w:name w:val="Abstract Char Char"/>
    <w:link w:val="Abstract"/>
    <w:rsid w:val="00CF0895"/>
    <w:rPr>
      <w:i/>
      <w:iCs/>
      <w:spacing w:val="-1"/>
      <w:lang w:val="en-US" w:bidi="ar-SA"/>
    </w:rPr>
  </w:style>
  <w:style w:type="character" w:customStyle="1" w:styleId="Header1AbsKeywAcknCharChar">
    <w:name w:val="Header1: Abs_Keyw_Ackn Char Char"/>
    <w:link w:val="Header1AbsKeywAckn"/>
    <w:rsid w:val="00CF0895"/>
    <w:rPr>
      <w:b/>
      <w:bCs/>
      <w:i/>
      <w:iCs/>
      <w:spacing w:val="1"/>
      <w:lang w:val="en-US" w:bidi="ar-SA"/>
    </w:rPr>
  </w:style>
  <w:style w:type="character" w:styleId="Lbjegyzet-hivatkozs">
    <w:name w:val="footnote reference"/>
    <w:semiHidden/>
    <w:rsid w:val="0060217B"/>
    <w:rPr>
      <w:vertAlign w:val="superscript"/>
    </w:rPr>
  </w:style>
  <w:style w:type="paragraph" w:customStyle="1" w:styleId="Affiliation">
    <w:name w:val="Affiliation"/>
    <w:basedOn w:val="Norml"/>
    <w:rsid w:val="00401DC0"/>
    <w:pPr>
      <w:keepLines/>
      <w:shd w:val="clear" w:color="auto" w:fill="FFFFFF"/>
      <w:spacing w:after="60" w:line="240" w:lineRule="auto"/>
      <w:ind w:left="34" w:firstLine="0"/>
      <w:jc w:val="left"/>
    </w:pPr>
    <w:rPr>
      <w:sz w:val="16"/>
      <w:szCs w:val="16"/>
      <w:lang w:val="en-US"/>
    </w:rPr>
  </w:style>
  <w:style w:type="paragraph" w:customStyle="1" w:styleId="Normalnoindent">
    <w:name w:val="Normal noindent"/>
    <w:basedOn w:val="Norml"/>
    <w:next w:val="Norml"/>
    <w:link w:val="NormalnoindentChar"/>
    <w:rsid w:val="00CF0895"/>
    <w:pPr>
      <w:ind w:firstLine="0"/>
    </w:pPr>
  </w:style>
  <w:style w:type="character" w:customStyle="1" w:styleId="NormalnoindentChar">
    <w:name w:val="Normal noindent Char"/>
    <w:link w:val="Normalnoindent"/>
    <w:rsid w:val="00CF0895"/>
    <w:rPr>
      <w:lang w:val="en-GB" w:eastAsia="hu-HU" w:bidi="ar-SA"/>
    </w:rPr>
  </w:style>
  <w:style w:type="paragraph" w:customStyle="1" w:styleId="Heading1nospaceabove">
    <w:name w:val="Heading 1 (nospaceabove)"/>
    <w:basedOn w:val="Cmsor1"/>
    <w:rsid w:val="006C1935"/>
    <w:pPr>
      <w:spacing w:before="0"/>
    </w:pPr>
  </w:style>
  <w:style w:type="paragraph" w:customStyle="1" w:styleId="Reference">
    <w:name w:val="Reference"/>
    <w:basedOn w:val="Norml"/>
    <w:link w:val="ReferenceCharChar"/>
    <w:qFormat/>
    <w:rsid w:val="00464E92"/>
    <w:pPr>
      <w:keepLines/>
      <w:numPr>
        <w:numId w:val="26"/>
      </w:numPr>
      <w:shd w:val="clear" w:color="auto" w:fill="FFFFFF"/>
      <w:ind w:right="11"/>
    </w:pPr>
    <w:rPr>
      <w:lang w:val="en-US"/>
    </w:rPr>
  </w:style>
  <w:style w:type="character" w:customStyle="1" w:styleId="ReferenceCharChar">
    <w:name w:val="Reference Char Char"/>
    <w:link w:val="Reference"/>
    <w:rsid w:val="00464E92"/>
    <w:rPr>
      <w:shd w:val="clear" w:color="auto" w:fill="FFFFFF"/>
      <w:lang w:val="en-US"/>
    </w:rPr>
  </w:style>
  <w:style w:type="paragraph" w:customStyle="1" w:styleId="Author">
    <w:name w:val="Author"/>
    <w:basedOn w:val="Norml"/>
    <w:link w:val="AuthorCharChar"/>
    <w:qFormat/>
    <w:rsid w:val="00BE69BC"/>
    <w:pPr>
      <w:shd w:val="clear" w:color="auto" w:fill="FFFFFF"/>
      <w:spacing w:before="269"/>
      <w:ind w:right="-567" w:firstLine="0"/>
      <w:jc w:val="left"/>
    </w:pPr>
    <w:rPr>
      <w:iCs/>
      <w:spacing w:val="-2"/>
      <w:lang w:val="en-US"/>
    </w:rPr>
  </w:style>
  <w:style w:type="character" w:customStyle="1" w:styleId="AuthorCharChar">
    <w:name w:val="Author Char Char"/>
    <w:link w:val="Author"/>
    <w:rsid w:val="00BE69BC"/>
    <w:rPr>
      <w:iCs/>
      <w:spacing w:val="-2"/>
      <w:lang w:val="en-US" w:bidi="ar-SA"/>
    </w:rPr>
  </w:style>
  <w:style w:type="paragraph" w:customStyle="1" w:styleId="Heading1nonumbering">
    <w:name w:val="Heading 1 (nonumbering)"/>
    <w:basedOn w:val="Cmsor1"/>
    <w:rsid w:val="00254BEE"/>
    <w:pPr>
      <w:jc w:val="left"/>
    </w:pPr>
  </w:style>
  <w:style w:type="paragraph" w:customStyle="1" w:styleId="Figure">
    <w:name w:val="Figure"/>
    <w:basedOn w:val="Norml"/>
    <w:next w:val="Kpalrs"/>
    <w:link w:val="FigureCharChar"/>
    <w:qFormat/>
    <w:rsid w:val="00CD553D"/>
    <w:pPr>
      <w:keepNext/>
      <w:widowControl/>
      <w:autoSpaceDE/>
      <w:autoSpaceDN/>
      <w:adjustRightInd/>
      <w:snapToGrid w:val="0"/>
      <w:spacing w:before="120" w:after="120"/>
      <w:jc w:val="center"/>
    </w:pPr>
    <w:rPr>
      <w:iCs/>
      <w:noProof/>
      <w:lang w:val="en-US"/>
    </w:rPr>
  </w:style>
  <w:style w:type="paragraph" w:styleId="Kpalrs">
    <w:name w:val="caption"/>
    <w:basedOn w:val="Norml"/>
    <w:next w:val="Norml"/>
    <w:uiPriority w:val="35"/>
    <w:qFormat/>
    <w:rsid w:val="00F92DBA"/>
    <w:rPr>
      <w:b/>
      <w:bCs/>
    </w:rPr>
  </w:style>
  <w:style w:type="character" w:customStyle="1" w:styleId="FigureCharChar">
    <w:name w:val="Figure Char Char"/>
    <w:link w:val="Figure"/>
    <w:rsid w:val="00CF0895"/>
    <w:rPr>
      <w:iCs/>
      <w:noProof/>
      <w:lang w:val="en-US" w:eastAsia="hu-HU" w:bidi="ar-SA"/>
    </w:rPr>
  </w:style>
  <w:style w:type="character" w:styleId="Mrltotthiperhivatkozs">
    <w:name w:val="FollowedHyperlink"/>
    <w:rsid w:val="00BF57C2"/>
    <w:rPr>
      <w:color w:val="800080"/>
      <w:u w:val="single"/>
    </w:rPr>
  </w:style>
  <w:style w:type="paragraph" w:styleId="Buborkszveg">
    <w:name w:val="Balloon Text"/>
    <w:basedOn w:val="Norml"/>
    <w:semiHidden/>
    <w:rsid w:val="00CE21BF"/>
    <w:rPr>
      <w:rFonts w:ascii="Tahoma" w:hAnsi="Tahoma" w:cs="Tahoma"/>
      <w:sz w:val="16"/>
      <w:szCs w:val="16"/>
    </w:rPr>
  </w:style>
  <w:style w:type="paragraph" w:styleId="Cm">
    <w:name w:val="Title"/>
    <w:basedOn w:val="Norml"/>
    <w:link w:val="CmChar"/>
    <w:qFormat/>
    <w:rsid w:val="00CD553D"/>
    <w:pPr>
      <w:shd w:val="clear" w:color="auto" w:fill="FFFFFF"/>
      <w:spacing w:line="552" w:lineRule="exact"/>
      <w:ind w:left="28" w:right="-1038" w:hanging="28"/>
      <w:jc w:val="left"/>
    </w:pPr>
    <w:rPr>
      <w:rFonts w:ascii="Arial" w:hAnsi="Arial"/>
      <w:spacing w:val="-7"/>
      <w:sz w:val="40"/>
      <w:szCs w:val="40"/>
      <w:lang w:val="en-US"/>
    </w:rPr>
  </w:style>
  <w:style w:type="paragraph" w:customStyle="1" w:styleId="FigureCaption">
    <w:name w:val="Figure Caption"/>
    <w:basedOn w:val="Figure"/>
    <w:next w:val="Norml"/>
    <w:rsid w:val="00CF0895"/>
    <w:pPr>
      <w:numPr>
        <w:numId w:val="12"/>
      </w:numPr>
      <w:tabs>
        <w:tab w:val="num" w:pos="567"/>
      </w:tabs>
      <w:spacing w:before="0" w:line="240" w:lineRule="exact"/>
      <w:ind w:left="567" w:hanging="567"/>
    </w:pPr>
    <w:rPr>
      <w:sz w:val="16"/>
      <w:szCs w:val="16"/>
    </w:rPr>
  </w:style>
  <w:style w:type="paragraph" w:customStyle="1" w:styleId="Heading2nonumbering">
    <w:name w:val="Heading 2 (nonumbering)"/>
    <w:basedOn w:val="Cmsor2"/>
    <w:rsid w:val="00106488"/>
    <w:pPr>
      <w:numPr>
        <w:ilvl w:val="0"/>
        <w:numId w:val="0"/>
      </w:numPr>
    </w:pPr>
  </w:style>
  <w:style w:type="paragraph" w:customStyle="1" w:styleId="TabCaption">
    <w:name w:val="Tab Caption"/>
    <w:basedOn w:val="Figure"/>
    <w:next w:val="Norml"/>
    <w:rsid w:val="00401DC0"/>
    <w:pPr>
      <w:keepLines/>
      <w:numPr>
        <w:numId w:val="29"/>
      </w:numPr>
    </w:pPr>
    <w:rPr>
      <w:rFonts w:ascii="Arial" w:hAnsi="Arial" w:cs="Arial"/>
      <w:b/>
      <w:sz w:val="16"/>
    </w:rPr>
  </w:style>
  <w:style w:type="paragraph" w:customStyle="1" w:styleId="ReferenceHarvard">
    <w:name w:val="Reference (Harvard)"/>
    <w:basedOn w:val="Norml"/>
    <w:rsid w:val="00464E92"/>
    <w:pPr>
      <w:keepLines/>
      <w:widowControl/>
      <w:ind w:left="284" w:hanging="284"/>
    </w:pPr>
    <w:rPr>
      <w:color w:val="141314"/>
    </w:rPr>
  </w:style>
  <w:style w:type="character" w:customStyle="1" w:styleId="CmChar">
    <w:name w:val="Cím Char"/>
    <w:link w:val="Cm"/>
    <w:rsid w:val="001E4338"/>
    <w:rPr>
      <w:rFonts w:ascii="Arial" w:hAnsi="Arial"/>
      <w:spacing w:val="-7"/>
      <w:sz w:val="40"/>
      <w:szCs w:val="40"/>
      <w:shd w:val="clear" w:color="auto" w:fill="FFFFFF"/>
      <w:lang w:val="en-US"/>
    </w:rPr>
  </w:style>
  <w:style w:type="paragraph" w:styleId="Listaszerbekezds">
    <w:name w:val="List Paragraph"/>
    <w:basedOn w:val="Norml"/>
    <w:uiPriority w:val="34"/>
    <w:qFormat/>
    <w:rsid w:val="00DA57F9"/>
    <w:pPr>
      <w:widowControl/>
      <w:autoSpaceDE/>
      <w:autoSpaceDN/>
      <w:adjustRightInd/>
      <w:spacing w:before="120" w:after="320" w:line="276" w:lineRule="auto"/>
      <w:ind w:left="720" w:firstLine="0"/>
      <w:contextualSpacing/>
    </w:pPr>
    <w:rPr>
      <w:rFonts w:cs="Calibri"/>
      <w:sz w:val="24"/>
      <w:szCs w:val="22"/>
      <w:lang w:val="hu-HU" w:eastAsia="en-US"/>
    </w:rPr>
  </w:style>
  <w:style w:type="character" w:styleId="Jegyzethivatkozs">
    <w:name w:val="annotation reference"/>
    <w:uiPriority w:val="99"/>
    <w:unhideWhenUsed/>
    <w:rsid w:val="00DA57F9"/>
    <w:rPr>
      <w:sz w:val="16"/>
      <w:szCs w:val="16"/>
    </w:rPr>
  </w:style>
  <w:style w:type="character" w:styleId="Kiemels">
    <w:name w:val="Emphasis"/>
    <w:uiPriority w:val="20"/>
    <w:qFormat/>
    <w:rsid w:val="00760CAA"/>
    <w:rPr>
      <w:i/>
      <w:iCs/>
    </w:rPr>
  </w:style>
  <w:style w:type="character" w:customStyle="1" w:styleId="apple-converted-space">
    <w:name w:val="apple-converted-space"/>
    <w:rsid w:val="00760CAA"/>
  </w:style>
  <w:style w:type="character" w:customStyle="1" w:styleId="citationvolume">
    <w:name w:val="citation_volume"/>
    <w:rsid w:val="002B14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mutage.oxfordjournals.org/content/28/1.toc" TargetMode="External"/><Relationship Id="rId26" Type="http://schemas.openxmlformats.org/officeDocument/2006/relationships/hyperlink" Target="http://www.ncbi.nlm.nih.gov/pubmed?term=Burke%20IT%5BAuthor%5D&amp;cauthor=true&amp;cauthor_uid=23793510" TargetMode="External"/><Relationship Id="rId3" Type="http://schemas.openxmlformats.org/officeDocument/2006/relationships/styles" Target="styles.xml"/><Relationship Id="rId21" Type="http://schemas.openxmlformats.org/officeDocument/2006/relationships/hyperlink" Target="http://www.ncbi.nlm.nih.gov/pubmed?term=Lockwood%20CL%5BAuthor%5D&amp;cauthor=true&amp;cauthor_uid=23793510"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www.ncbi.nlm.nih.gov/pubmed?term=Gruiz%20K%5BAuthor%5D&amp;cauthor=true&amp;cauthor_uid=23793510"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ncbi.nlm.nih.gov/pubmed?term=Lehoux%20AP%5BAuthor%5D&amp;cauthor=true&amp;cauthor_uid=237935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cbi.nlm.nih.gov/pubmed?term=Mortimer%20RJ%5BAuthor%5D&amp;cauthor=true&amp;cauthor_uid=2379351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ncbi.nlm.nih.gov/pubmed?term=Stewart%20DI%5BAuthor%5D&amp;cauthor=true&amp;cauthor_uid=2379351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x.doi.org/10.3390/ma51018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ncbi.nlm.nih.gov/pubmed?term=Mayes%20WM%5BAuthor%5D&amp;cauthor=true&amp;cauthor_uid=23793510" TargetMode="External"/><Relationship Id="rId27" Type="http://schemas.openxmlformats.org/officeDocument/2006/relationships/hyperlink" Target="http://dx.doi.org/10.1039/C2EM30155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Gruiz\Dokumentumok\Evi\Dropbox\melo\Eva\diplomamunka\mikrokozmosz_&#201;vi_2013_consoi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Gruiz\Dokumentumok\Evi\Dropbox\melo\Eva\5%25v&#246;ri_cikk\Bekeveres_statisztik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Gruiz\Dokumentumok\Evi\Dropbox\melo\Eva\5%25v&#246;ri_cikk\Bekeveres_statisztik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Gruiz\Dokumentumok\Evi\Dropbox\melo\Eva\5%25v&#246;ri_cikk\Bekeveres_statisztik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09617881886295"/>
          <c:y val="0.11321558651322536"/>
          <c:w val="0.69590239311542601"/>
          <c:h val="0.66003601857461303"/>
        </c:manualLayout>
      </c:layout>
      <c:barChart>
        <c:barDir val="col"/>
        <c:grouping val="clustered"/>
        <c:ser>
          <c:idx val="3"/>
          <c:order val="0"/>
          <c:tx>
            <c:strRef>
              <c:f>elosejt!$C$187</c:f>
              <c:strCache>
                <c:ptCount val="1"/>
                <c:pt idx="0">
                  <c:v>1st month </c:v>
                </c:pt>
              </c:strCache>
            </c:strRef>
          </c:tx>
          <c:spPr>
            <a:solidFill>
              <a:sysClr val="window" lastClr="FFFFFF">
                <a:lumMod val="50000"/>
              </a:sysClr>
            </a:solidFill>
          </c:spPr>
          <c:dLbls>
            <c:dLbl>
              <c:idx val="0"/>
              <c:tx>
                <c:rich>
                  <a:bodyPr/>
                  <a:lstStyle/>
                  <a:p>
                    <a:r>
                      <a:rPr lang="hu-HU" sz="800">
                        <a:latin typeface="Times New Roman" pitchFamily="18" charset="0"/>
                        <a:cs typeface="Times New Roman" pitchFamily="18" charset="0"/>
                      </a:rPr>
                      <a:t>a</a:t>
                    </a:r>
                    <a:endParaRPr lang="en-US"/>
                  </a:p>
                </c:rich>
              </c:tx>
              <c:dLblPos val="ctr"/>
              <c:showVal val="1"/>
            </c:dLbl>
            <c:dLbl>
              <c:idx val="1"/>
              <c:tx>
                <c:rich>
                  <a:bodyPr/>
                  <a:lstStyle/>
                  <a:p>
                    <a:r>
                      <a:rPr lang="hu-HU" sz="800">
                        <a:latin typeface="Times New Roman" pitchFamily="18" charset="0"/>
                        <a:cs typeface="Times New Roman" pitchFamily="18" charset="0"/>
                      </a:rPr>
                      <a:t>a</a:t>
                    </a:r>
                    <a:r>
                      <a:rPr lang="hu-HU"/>
                      <a:t>b</a:t>
                    </a:r>
                    <a:endParaRPr lang="en-US"/>
                  </a:p>
                </c:rich>
              </c:tx>
              <c:dLblPos val="ctr"/>
              <c:showVal val="1"/>
            </c:dLbl>
            <c:dLbl>
              <c:idx val="2"/>
              <c:tx>
                <c:rich>
                  <a:bodyPr/>
                  <a:lstStyle/>
                  <a:p>
                    <a:r>
                      <a:rPr lang="hu-HU" sz="800">
                        <a:latin typeface="Times New Roman" pitchFamily="18" charset="0"/>
                        <a:cs typeface="Times New Roman" pitchFamily="18" charset="0"/>
                      </a:rPr>
                      <a:t>a</a:t>
                    </a:r>
                    <a:r>
                      <a:rPr lang="hu-HU"/>
                      <a:t>b</a:t>
                    </a:r>
                    <a:endParaRPr lang="en-US"/>
                  </a:p>
                </c:rich>
              </c:tx>
              <c:dLblPos val="ctr"/>
              <c:showVal val="1"/>
            </c:dLbl>
            <c:dLbl>
              <c:idx val="3"/>
              <c:tx>
                <c:rich>
                  <a:bodyPr/>
                  <a:lstStyle/>
                  <a:p>
                    <a:r>
                      <a:rPr lang="hu-HU" sz="800">
                        <a:latin typeface="Times New Roman" pitchFamily="18" charset="0"/>
                        <a:cs typeface="Times New Roman" pitchFamily="18" charset="0"/>
                      </a:rPr>
                      <a:t>b</a:t>
                    </a:r>
                    <a:endParaRPr lang="en-US"/>
                  </a:p>
                </c:rich>
              </c:tx>
              <c:dLblPos val="ctr"/>
              <c:showVal val="1"/>
            </c:dLbl>
            <c:dLbl>
              <c:idx val="4"/>
              <c:tx>
                <c:rich>
                  <a:bodyPr/>
                  <a:lstStyle/>
                  <a:p>
                    <a:r>
                      <a:rPr lang="hu-HU" sz="800">
                        <a:latin typeface="Times New Roman" pitchFamily="18" charset="0"/>
                        <a:cs typeface="Times New Roman" pitchFamily="18" charset="0"/>
                      </a:rPr>
                      <a:t>c</a:t>
                    </a:r>
                    <a:endParaRPr lang="en-US"/>
                  </a:p>
                </c:rich>
              </c:tx>
              <c:dLblPos val="ctr"/>
              <c:showVal val="1"/>
            </c:dLbl>
            <c:dLbl>
              <c:idx val="5"/>
              <c:tx>
                <c:rich>
                  <a:bodyPr/>
                  <a:lstStyle/>
                  <a:p>
                    <a:r>
                      <a:rPr lang="hu-HU" sz="800">
                        <a:latin typeface="Times New Roman" pitchFamily="18" charset="0"/>
                        <a:cs typeface="Times New Roman" pitchFamily="18" charset="0"/>
                      </a:rPr>
                      <a:t>b</a:t>
                    </a:r>
                    <a:r>
                      <a:rPr lang="hu-HU"/>
                      <a:t>d</a:t>
                    </a:r>
                    <a:endParaRPr lang="en-US"/>
                  </a:p>
                </c:rich>
              </c:tx>
              <c:dLblPos val="ctr"/>
              <c:showVal val="1"/>
            </c:dLbl>
            <c:dLbl>
              <c:idx val="6"/>
              <c:tx>
                <c:rich>
                  <a:bodyPr/>
                  <a:lstStyle/>
                  <a:p>
                    <a:r>
                      <a:rPr lang="hu-HU" sz="800">
                        <a:latin typeface="Times New Roman" pitchFamily="18" charset="0"/>
                        <a:cs typeface="Times New Roman" pitchFamily="18" charset="0"/>
                      </a:rPr>
                      <a:t>a</a:t>
                    </a:r>
                    <a:endParaRPr lang="en-US"/>
                  </a:p>
                </c:rich>
              </c:tx>
              <c:dLblPos val="ctr"/>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cust"/>
            <c:plus>
              <c:numRef>
                <c:f>elosejt!$D$280:$D$286</c:f>
                <c:numCache>
                  <c:formatCode>General</c:formatCode>
                  <c:ptCount val="7"/>
                  <c:pt idx="0">
                    <c:v>216679.48680020368</c:v>
                  </c:pt>
                  <c:pt idx="1">
                    <c:v>1300000</c:v>
                  </c:pt>
                  <c:pt idx="2">
                    <c:v>862160.07794376137</c:v>
                  </c:pt>
                  <c:pt idx="3">
                    <c:v>799660.34456303145</c:v>
                  </c:pt>
                  <c:pt idx="4">
                    <c:v>5695986.8913706839</c:v>
                  </c:pt>
                  <c:pt idx="5">
                    <c:v>445477.27214752522</c:v>
                  </c:pt>
                  <c:pt idx="6">
                    <c:v>107857.93124908934</c:v>
                  </c:pt>
                </c:numCache>
              </c:numRef>
            </c:plus>
            <c:minus>
              <c:numRef>
                <c:f>elosejt!$D$280:$D$286</c:f>
                <c:numCache>
                  <c:formatCode>General</c:formatCode>
                  <c:ptCount val="7"/>
                  <c:pt idx="0">
                    <c:v>216679.48680020368</c:v>
                  </c:pt>
                  <c:pt idx="1">
                    <c:v>1300000</c:v>
                  </c:pt>
                  <c:pt idx="2">
                    <c:v>862160.07794376137</c:v>
                  </c:pt>
                  <c:pt idx="3">
                    <c:v>799660.34456303145</c:v>
                  </c:pt>
                  <c:pt idx="4">
                    <c:v>5695986.8913706839</c:v>
                  </c:pt>
                  <c:pt idx="5">
                    <c:v>445477.27214752522</c:v>
                  </c:pt>
                  <c:pt idx="6">
                    <c:v>107857.93124908934</c:v>
                  </c:pt>
                </c:numCache>
              </c:numRef>
            </c:minus>
          </c:errBars>
          <c:cat>
            <c:strRef>
              <c:f>elosejt!$B$189:$B$195</c:f>
              <c:strCache>
                <c:ptCount val="7"/>
                <c:pt idx="0">
                  <c:v>R</c:v>
                </c:pt>
                <c:pt idx="1">
                  <c:v>S</c:v>
                </c:pt>
                <c:pt idx="2">
                  <c:v>S + 5% RM</c:v>
                </c:pt>
                <c:pt idx="3">
                  <c:v>S + 10% RM</c:v>
                </c:pt>
                <c:pt idx="4">
                  <c:v>S + 20% RM</c:v>
                </c:pt>
                <c:pt idx="5">
                  <c:v>S + 30% RM</c:v>
                </c:pt>
                <c:pt idx="6">
                  <c:v>S + 40% RM</c:v>
                </c:pt>
              </c:strCache>
            </c:strRef>
          </c:cat>
          <c:val>
            <c:numRef>
              <c:f>elosejt!$C$189:$C$195</c:f>
              <c:numCache>
                <c:formatCode>0.0E+00</c:formatCode>
                <c:ptCount val="7"/>
                <c:pt idx="0">
                  <c:v>1190555.5555555546</c:v>
                </c:pt>
                <c:pt idx="1">
                  <c:v>3100000</c:v>
                </c:pt>
                <c:pt idx="2">
                  <c:v>2613333.3333332874</c:v>
                </c:pt>
                <c:pt idx="3">
                  <c:v>4060000</c:v>
                </c:pt>
                <c:pt idx="4">
                  <c:v>11270000</c:v>
                </c:pt>
                <c:pt idx="5">
                  <c:v>5685000</c:v>
                </c:pt>
                <c:pt idx="6">
                  <c:v>457500</c:v>
                </c:pt>
              </c:numCache>
            </c:numRef>
          </c:val>
        </c:ser>
        <c:ser>
          <c:idx val="0"/>
          <c:order val="1"/>
          <c:tx>
            <c:strRef>
              <c:f>elosejt!$D$187</c:f>
              <c:strCache>
                <c:ptCount val="1"/>
                <c:pt idx="0">
                  <c:v>2nd month</c:v>
                </c:pt>
              </c:strCache>
            </c:strRef>
          </c:tx>
          <c:spPr>
            <a:solidFill>
              <a:sysClr val="window" lastClr="FFFFFF">
                <a:lumMod val="85000"/>
              </a:sysClr>
            </a:solidFill>
          </c:spPr>
          <c:dLbls>
            <c:dLbl>
              <c:idx val="0"/>
              <c:tx>
                <c:rich>
                  <a:bodyPr/>
                  <a:lstStyle/>
                  <a:p>
                    <a:r>
                      <a:rPr lang="hu-HU" sz="800">
                        <a:latin typeface="Times New Roman" pitchFamily="18" charset="0"/>
                        <a:cs typeface="Times New Roman" pitchFamily="18" charset="0"/>
                      </a:rPr>
                      <a:t>a</a:t>
                    </a:r>
                    <a:endParaRPr lang="en-US"/>
                  </a:p>
                </c:rich>
              </c:tx>
              <c:dLblPos val="ctr"/>
              <c:showVal val="1"/>
            </c:dLbl>
            <c:dLbl>
              <c:idx val="1"/>
              <c:tx>
                <c:rich>
                  <a:bodyPr/>
                  <a:lstStyle/>
                  <a:p>
                    <a:r>
                      <a:rPr lang="hu-HU" sz="800">
                        <a:latin typeface="Times New Roman" pitchFamily="18" charset="0"/>
                        <a:cs typeface="Times New Roman" pitchFamily="18" charset="0"/>
                      </a:rPr>
                      <a:t>b</a:t>
                    </a:r>
                    <a:endParaRPr lang="en-US"/>
                  </a:p>
                </c:rich>
              </c:tx>
              <c:dLblPos val="ctr"/>
              <c:showVal val="1"/>
            </c:dLbl>
            <c:dLbl>
              <c:idx val="2"/>
              <c:tx>
                <c:rich>
                  <a:bodyPr/>
                  <a:lstStyle/>
                  <a:p>
                    <a:r>
                      <a:rPr lang="hu-HU" sz="800">
                        <a:latin typeface="Times New Roman" pitchFamily="18" charset="0"/>
                        <a:cs typeface="Times New Roman" pitchFamily="18" charset="0"/>
                      </a:rPr>
                      <a:t>b</a:t>
                    </a:r>
                    <a:endParaRPr lang="en-US"/>
                  </a:p>
                </c:rich>
              </c:tx>
              <c:dLblPos val="ctr"/>
              <c:showVal val="1"/>
            </c:dLbl>
            <c:dLbl>
              <c:idx val="3"/>
              <c:tx>
                <c:rich>
                  <a:bodyPr/>
                  <a:lstStyle/>
                  <a:p>
                    <a:r>
                      <a:rPr lang="hu-HU" sz="800">
                        <a:latin typeface="Times New Roman" pitchFamily="18" charset="0"/>
                        <a:cs typeface="Times New Roman" pitchFamily="18" charset="0"/>
                      </a:rPr>
                      <a:t>c</a:t>
                    </a:r>
                    <a:endParaRPr lang="en-US"/>
                  </a:p>
                </c:rich>
              </c:tx>
              <c:dLblPos val="ctr"/>
              <c:showVal val="1"/>
            </c:dLbl>
            <c:dLbl>
              <c:idx val="4"/>
              <c:tx>
                <c:rich>
                  <a:bodyPr/>
                  <a:lstStyle/>
                  <a:p>
                    <a:r>
                      <a:rPr lang="hu-HU" sz="800">
                        <a:latin typeface="Times New Roman" pitchFamily="18" charset="0"/>
                        <a:cs typeface="Times New Roman" pitchFamily="18" charset="0"/>
                      </a:rPr>
                      <a:t>d</a:t>
                    </a:r>
                    <a:r>
                      <a:rPr lang="hu-HU"/>
                      <a:t>e</a:t>
                    </a:r>
                    <a:endParaRPr lang="en-US"/>
                  </a:p>
                </c:rich>
              </c:tx>
              <c:dLblPos val="ctr"/>
              <c:showVal val="1"/>
            </c:dLbl>
            <c:dLbl>
              <c:idx val="5"/>
              <c:tx>
                <c:rich>
                  <a:bodyPr/>
                  <a:lstStyle/>
                  <a:p>
                    <a:r>
                      <a:rPr lang="hu-HU" sz="800">
                        <a:latin typeface="Times New Roman" pitchFamily="18" charset="0"/>
                        <a:cs typeface="Times New Roman" pitchFamily="18" charset="0"/>
                      </a:rPr>
                      <a:t>d</a:t>
                    </a:r>
                    <a:endParaRPr lang="en-US"/>
                  </a:p>
                </c:rich>
              </c:tx>
              <c:dLblPos val="ctr"/>
              <c:showVal val="1"/>
            </c:dLbl>
            <c:dLbl>
              <c:idx val="6"/>
              <c:tx>
                <c:rich>
                  <a:bodyPr/>
                  <a:lstStyle/>
                  <a:p>
                    <a:r>
                      <a:rPr lang="hu-HU" sz="800">
                        <a:latin typeface="Times New Roman" pitchFamily="18" charset="0"/>
                        <a:cs typeface="Times New Roman" pitchFamily="18" charset="0"/>
                      </a:rPr>
                      <a:t>e</a:t>
                    </a:r>
                    <a:endParaRPr lang="en-US"/>
                  </a:p>
                </c:rich>
              </c:tx>
              <c:dLblPos val="ctr"/>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cust"/>
            <c:plus>
              <c:numRef>
                <c:f>elosejt!$E$280:$E$286</c:f>
                <c:numCache>
                  <c:formatCode>General</c:formatCode>
                  <c:ptCount val="7"/>
                  <c:pt idx="0">
                    <c:v>252381.98562232268</c:v>
                  </c:pt>
                  <c:pt idx="1">
                    <c:v>380915.56369708286</c:v>
                  </c:pt>
                  <c:pt idx="2">
                    <c:v>708926.41837264551</c:v>
                  </c:pt>
                  <c:pt idx="3">
                    <c:v>514328.04058628588</c:v>
                  </c:pt>
                  <c:pt idx="4">
                    <c:v>683520.29962540232</c:v>
                  </c:pt>
                  <c:pt idx="5">
                    <c:v>1999299.8774571063</c:v>
                  </c:pt>
                  <c:pt idx="6">
                    <c:v>284429.25306655781</c:v>
                  </c:pt>
                </c:numCache>
              </c:numRef>
            </c:plus>
            <c:minus>
              <c:numRef>
                <c:f>elosejt!$E$280:$E$286</c:f>
                <c:numCache>
                  <c:formatCode>General</c:formatCode>
                  <c:ptCount val="7"/>
                  <c:pt idx="0">
                    <c:v>252381.98562232268</c:v>
                  </c:pt>
                  <c:pt idx="1">
                    <c:v>380915.56369708286</c:v>
                  </c:pt>
                  <c:pt idx="2">
                    <c:v>708926.41837264551</c:v>
                  </c:pt>
                  <c:pt idx="3">
                    <c:v>514328.04058628588</c:v>
                  </c:pt>
                  <c:pt idx="4">
                    <c:v>683520.29962540232</c:v>
                  </c:pt>
                  <c:pt idx="5">
                    <c:v>1999299.8774571063</c:v>
                  </c:pt>
                  <c:pt idx="6">
                    <c:v>284429.25306655781</c:v>
                  </c:pt>
                </c:numCache>
              </c:numRef>
            </c:minus>
          </c:errBars>
          <c:cat>
            <c:strRef>
              <c:f>elosejt!$B$189:$B$195</c:f>
              <c:strCache>
                <c:ptCount val="7"/>
                <c:pt idx="0">
                  <c:v>R</c:v>
                </c:pt>
                <c:pt idx="1">
                  <c:v>S</c:v>
                </c:pt>
                <c:pt idx="2">
                  <c:v>S + 5% RM</c:v>
                </c:pt>
                <c:pt idx="3">
                  <c:v>S + 10% RM</c:v>
                </c:pt>
                <c:pt idx="4">
                  <c:v>S + 20% RM</c:v>
                </c:pt>
                <c:pt idx="5">
                  <c:v>S + 30% RM</c:v>
                </c:pt>
                <c:pt idx="6">
                  <c:v>S + 40% RM</c:v>
                </c:pt>
              </c:strCache>
            </c:strRef>
          </c:cat>
          <c:val>
            <c:numRef>
              <c:f>elosejt!$D$189:$D$195</c:f>
              <c:numCache>
                <c:formatCode>0.0E+00</c:formatCode>
                <c:ptCount val="7"/>
                <c:pt idx="0">
                  <c:v>1231666.6666666681</c:v>
                </c:pt>
                <c:pt idx="1">
                  <c:v>2358333.3333332874</c:v>
                </c:pt>
                <c:pt idx="2">
                  <c:v>2511666.6666666665</c:v>
                </c:pt>
                <c:pt idx="3">
                  <c:v>8413333.333333334</c:v>
                </c:pt>
                <c:pt idx="4">
                  <c:v>4863333.3333333191</c:v>
                </c:pt>
                <c:pt idx="5">
                  <c:v>6355000</c:v>
                </c:pt>
                <c:pt idx="6">
                  <c:v>3813333.3333332874</c:v>
                </c:pt>
              </c:numCache>
            </c:numRef>
          </c:val>
        </c:ser>
        <c:ser>
          <c:idx val="4"/>
          <c:order val="2"/>
          <c:tx>
            <c:strRef>
              <c:f>elosejt!$F$187</c:f>
              <c:strCache>
                <c:ptCount val="1"/>
                <c:pt idx="0">
                  <c:v>8th month</c:v>
                </c:pt>
              </c:strCache>
            </c:strRef>
          </c:tx>
          <c:spPr>
            <a:solidFill>
              <a:sysClr val="windowText" lastClr="000000">
                <a:lumMod val="65000"/>
                <a:lumOff val="35000"/>
                <a:alpha val="94000"/>
              </a:sysClr>
            </a:solidFill>
          </c:spPr>
          <c:dLbls>
            <c:dLbl>
              <c:idx val="0"/>
              <c:tx>
                <c:rich>
                  <a:bodyPr/>
                  <a:lstStyle/>
                  <a:p>
                    <a:r>
                      <a:rPr lang="hu-HU" sz="800">
                        <a:latin typeface="Times New Roman" pitchFamily="18" charset="0"/>
                        <a:cs typeface="Times New Roman" pitchFamily="18" charset="0"/>
                      </a:rPr>
                      <a:t>a</a:t>
                    </a:r>
                    <a:r>
                      <a:rPr lang="hu-HU"/>
                      <a:t>cd</a:t>
                    </a:r>
                    <a:endParaRPr lang="en-US"/>
                  </a:p>
                </c:rich>
              </c:tx>
              <c:dLblPos val="ctr"/>
              <c:showVal val="1"/>
            </c:dLbl>
            <c:dLbl>
              <c:idx val="1"/>
              <c:tx>
                <c:rich>
                  <a:bodyPr/>
                  <a:lstStyle/>
                  <a:p>
                    <a:r>
                      <a:rPr lang="hu-HU" sz="800">
                        <a:latin typeface="Times New Roman" pitchFamily="18" charset="0"/>
                        <a:cs typeface="Times New Roman" pitchFamily="18" charset="0"/>
                      </a:rPr>
                      <a:t>b</a:t>
                    </a:r>
                    <a:endParaRPr lang="en-US"/>
                  </a:p>
                </c:rich>
              </c:tx>
              <c:dLblPos val="ctr"/>
              <c:showVal val="1"/>
            </c:dLbl>
            <c:dLbl>
              <c:idx val="2"/>
              <c:tx>
                <c:rich>
                  <a:bodyPr/>
                  <a:lstStyle/>
                  <a:p>
                    <a:r>
                      <a:rPr lang="hu-HU" sz="800">
                        <a:latin typeface="Times New Roman" pitchFamily="18" charset="0"/>
                        <a:cs typeface="Times New Roman" pitchFamily="18" charset="0"/>
                      </a:rPr>
                      <a:t>a</a:t>
                    </a:r>
                    <a:r>
                      <a:rPr lang="hu-HU"/>
                      <a:t>c</a:t>
                    </a:r>
                    <a:endParaRPr lang="en-US"/>
                  </a:p>
                </c:rich>
              </c:tx>
              <c:dLblPos val="ctr"/>
              <c:showVal val="1"/>
            </c:dLbl>
            <c:dLbl>
              <c:idx val="3"/>
              <c:tx>
                <c:rich>
                  <a:bodyPr/>
                  <a:lstStyle/>
                  <a:p>
                    <a:r>
                      <a:rPr lang="hu-HU" sz="800">
                        <a:latin typeface="Times New Roman" pitchFamily="18" charset="0"/>
                        <a:cs typeface="Times New Roman" pitchFamily="18" charset="0"/>
                      </a:rPr>
                      <a:t>a</a:t>
                    </a:r>
                    <a:r>
                      <a:rPr lang="hu-HU"/>
                      <a:t>c</a:t>
                    </a:r>
                    <a:endParaRPr lang="en-US"/>
                  </a:p>
                </c:rich>
              </c:tx>
              <c:dLblPos val="ctr"/>
              <c:showVal val="1"/>
            </c:dLbl>
            <c:dLbl>
              <c:idx val="4"/>
              <c:tx>
                <c:rich>
                  <a:bodyPr/>
                  <a:lstStyle/>
                  <a:p>
                    <a:r>
                      <a:rPr lang="hu-HU" sz="800">
                        <a:latin typeface="Times New Roman" pitchFamily="18" charset="0"/>
                        <a:cs typeface="Times New Roman" pitchFamily="18" charset="0"/>
                      </a:rPr>
                      <a:t>a</a:t>
                    </a:r>
                    <a:endParaRPr lang="en-US"/>
                  </a:p>
                </c:rich>
              </c:tx>
              <c:dLblPos val="ctr"/>
              <c:showVal val="1"/>
            </c:dLbl>
            <c:dLbl>
              <c:idx val="5"/>
              <c:tx>
                <c:rich>
                  <a:bodyPr/>
                  <a:lstStyle/>
                  <a:p>
                    <a:r>
                      <a:rPr lang="hu-HU" sz="800">
                        <a:latin typeface="Times New Roman" pitchFamily="18" charset="0"/>
                        <a:cs typeface="Times New Roman" pitchFamily="18" charset="0"/>
                      </a:rPr>
                      <a:t>c</a:t>
                    </a:r>
                    <a:r>
                      <a:rPr lang="hu-HU"/>
                      <a:t>d</a:t>
                    </a:r>
                    <a:endParaRPr lang="en-US"/>
                  </a:p>
                </c:rich>
              </c:tx>
              <c:dLblPos val="ctr"/>
              <c:showVal val="1"/>
            </c:dLbl>
            <c:dLbl>
              <c:idx val="6"/>
              <c:tx>
                <c:rich>
                  <a:bodyPr/>
                  <a:lstStyle/>
                  <a:p>
                    <a:r>
                      <a:rPr lang="hu-HU" sz="800">
                        <a:latin typeface="Times New Roman" pitchFamily="18" charset="0"/>
                        <a:cs typeface="Times New Roman" pitchFamily="18" charset="0"/>
                      </a:rPr>
                      <a:t>d</a:t>
                    </a:r>
                    <a:endParaRPr lang="en-US"/>
                  </a:p>
                </c:rich>
              </c:tx>
              <c:dLblPos val="ctr"/>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cust"/>
            <c:plus>
              <c:numRef>
                <c:f>elosejt!$F$280:$F$286</c:f>
                <c:numCache>
                  <c:formatCode>General</c:formatCode>
                  <c:ptCount val="7"/>
                  <c:pt idx="0">
                    <c:v>7071.0678118654751</c:v>
                  </c:pt>
                  <c:pt idx="1">
                    <c:v>155563.49186103998</c:v>
                  </c:pt>
                  <c:pt idx="2">
                    <c:v>63639.610306789276</c:v>
                  </c:pt>
                  <c:pt idx="3">
                    <c:v>141421.35623730868</c:v>
                  </c:pt>
                  <c:pt idx="4">
                    <c:v>7071.0678118654751</c:v>
                  </c:pt>
                  <c:pt idx="5">
                    <c:v>42426.406871193212</c:v>
                  </c:pt>
                  <c:pt idx="6">
                    <c:v>14142.135623730945</c:v>
                  </c:pt>
                </c:numCache>
              </c:numRef>
            </c:plus>
            <c:minus>
              <c:numRef>
                <c:f>elosejt!$F$280:$F$286</c:f>
                <c:numCache>
                  <c:formatCode>General</c:formatCode>
                  <c:ptCount val="7"/>
                  <c:pt idx="0">
                    <c:v>7071.0678118654751</c:v>
                  </c:pt>
                  <c:pt idx="1">
                    <c:v>155563.49186103998</c:v>
                  </c:pt>
                  <c:pt idx="2">
                    <c:v>63639.610306789276</c:v>
                  </c:pt>
                  <c:pt idx="3">
                    <c:v>141421.35623730868</c:v>
                  </c:pt>
                  <c:pt idx="4">
                    <c:v>7071.0678118654751</c:v>
                  </c:pt>
                  <c:pt idx="5">
                    <c:v>42426.406871193212</c:v>
                  </c:pt>
                  <c:pt idx="6">
                    <c:v>14142.135623730945</c:v>
                  </c:pt>
                </c:numCache>
              </c:numRef>
            </c:minus>
          </c:errBars>
          <c:cat>
            <c:strRef>
              <c:f>elosejt!$B$189:$B$195</c:f>
              <c:strCache>
                <c:ptCount val="7"/>
                <c:pt idx="0">
                  <c:v>R</c:v>
                </c:pt>
                <c:pt idx="1">
                  <c:v>S</c:v>
                </c:pt>
                <c:pt idx="2">
                  <c:v>S + 5% RM</c:v>
                </c:pt>
                <c:pt idx="3">
                  <c:v>S + 10% RM</c:v>
                </c:pt>
                <c:pt idx="4">
                  <c:v>S + 20% RM</c:v>
                </c:pt>
                <c:pt idx="5">
                  <c:v>S + 30% RM</c:v>
                </c:pt>
                <c:pt idx="6">
                  <c:v>S + 40% RM</c:v>
                </c:pt>
              </c:strCache>
            </c:strRef>
          </c:cat>
          <c:val>
            <c:numRef>
              <c:f>elosejt!$F$189:$F$195</c:f>
              <c:numCache>
                <c:formatCode>0.0E+00</c:formatCode>
                <c:ptCount val="7"/>
                <c:pt idx="0">
                  <c:v>834358.51561147289</c:v>
                </c:pt>
                <c:pt idx="1">
                  <c:v>2414422.214556749</c:v>
                </c:pt>
                <c:pt idx="2">
                  <c:v>1407563.0352757976</c:v>
                </c:pt>
                <c:pt idx="3">
                  <c:v>1245653.9687516326</c:v>
                </c:pt>
                <c:pt idx="4">
                  <c:v>1421325.4012174846</c:v>
                </c:pt>
                <c:pt idx="5">
                  <c:v>768866.00337464141</c:v>
                </c:pt>
                <c:pt idx="6">
                  <c:v>546742.39303160447</c:v>
                </c:pt>
              </c:numCache>
            </c:numRef>
          </c:val>
        </c:ser>
        <c:axId val="97987584"/>
        <c:axId val="98059008"/>
      </c:barChart>
      <c:catAx>
        <c:axId val="97987584"/>
        <c:scaling>
          <c:orientation val="minMax"/>
        </c:scaling>
        <c:axPos val="b"/>
        <c:numFmt formatCode="0" sourceLinked="1"/>
        <c:majorTickMark val="none"/>
        <c:tickLblPos val="nextTo"/>
        <c:txPr>
          <a:bodyPr/>
          <a:lstStyle/>
          <a:p>
            <a:pPr>
              <a:defRPr sz="800"/>
            </a:pPr>
            <a:endParaRPr lang="hu-HU"/>
          </a:p>
        </c:txPr>
        <c:crossAx val="98059008"/>
        <c:crosses val="autoZero"/>
        <c:auto val="1"/>
        <c:lblAlgn val="ctr"/>
        <c:lblOffset val="100"/>
      </c:catAx>
      <c:valAx>
        <c:axId val="98059008"/>
        <c:scaling>
          <c:logBase val="10"/>
          <c:orientation val="minMax"/>
          <c:max val="17000000"/>
          <c:min val="10000"/>
        </c:scaling>
        <c:axPos val="l"/>
        <c:majorGridlines/>
        <c:title>
          <c:tx>
            <c:rich>
              <a:bodyPr rot="-5400000" vert="horz" anchor="ctr" anchorCtr="0"/>
              <a:lstStyle/>
              <a:p>
                <a:pPr>
                  <a:defRPr sz="800" b="0">
                    <a:latin typeface="Times New Roman" pitchFamily="18" charset="0"/>
                    <a:cs typeface="Times New Roman" pitchFamily="18" charset="0"/>
                  </a:defRPr>
                </a:pPr>
                <a:r>
                  <a:rPr lang="hu-HU" sz="800" b="0" baseline="0">
                    <a:latin typeface="Times New Roman" pitchFamily="18" charset="0"/>
                    <a:cs typeface="Times New Roman" pitchFamily="18" charset="0"/>
                  </a:rPr>
                  <a:t>CFU </a:t>
                </a:r>
                <a:r>
                  <a:rPr lang="hu-HU" sz="800" b="0">
                    <a:latin typeface="Times New Roman" pitchFamily="18" charset="0"/>
                    <a:cs typeface="Times New Roman" pitchFamily="18" charset="0"/>
                  </a:rPr>
                  <a:t>/ g soil</a:t>
                </a:r>
              </a:p>
            </c:rich>
          </c:tx>
          <c:layout>
            <c:manualLayout>
              <c:xMode val="edge"/>
              <c:yMode val="edge"/>
              <c:x val="1.1734313169011041E-2"/>
              <c:y val="0.30264330737838968"/>
            </c:manualLayout>
          </c:layout>
        </c:title>
        <c:numFmt formatCode="0.0E+00" sourceLinked="0"/>
        <c:majorTickMark val="none"/>
        <c:tickLblPos val="nextTo"/>
        <c:txPr>
          <a:bodyPr/>
          <a:lstStyle/>
          <a:p>
            <a:pPr>
              <a:defRPr sz="800">
                <a:latin typeface="Times New Roman" pitchFamily="18" charset="0"/>
                <a:cs typeface="Times New Roman" pitchFamily="18" charset="0"/>
              </a:defRPr>
            </a:pPr>
            <a:endParaRPr lang="hu-HU"/>
          </a:p>
        </c:txPr>
        <c:crossAx val="97987584"/>
        <c:crosses val="autoZero"/>
        <c:crossBetween val="between"/>
      </c:valAx>
      <c:spPr>
        <a:ln>
          <a:solidFill>
            <a:schemeClr val="bg1">
              <a:lumMod val="50000"/>
            </a:schemeClr>
          </a:solidFill>
        </a:ln>
      </c:spPr>
    </c:plotArea>
    <c:legend>
      <c:legendPos val="r"/>
      <c:layout>
        <c:manualLayout>
          <c:xMode val="edge"/>
          <c:yMode val="edge"/>
          <c:x val="0.23280484673949708"/>
          <c:y val="3.177157588233849E-2"/>
          <c:w val="0.70901624990444656"/>
          <c:h val="7.9170710803437447E-2"/>
        </c:manualLayout>
      </c:layout>
      <c:txPr>
        <a:bodyPr/>
        <a:lstStyle/>
        <a:p>
          <a:pPr>
            <a:defRPr sz="800">
              <a:latin typeface="Times New Roman" pitchFamily="18" charset="0"/>
              <a:cs typeface="Times New Roman" pitchFamily="18" charset="0"/>
            </a:defRPr>
          </a:pPr>
          <a:endParaRPr lang="hu-H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plotArea>
      <c:layout>
        <c:manualLayout>
          <c:layoutTarget val="inner"/>
          <c:xMode val="edge"/>
          <c:yMode val="edge"/>
          <c:x val="0.13902344122096491"/>
          <c:y val="0.11700709828335942"/>
          <c:w val="0.8283764867714275"/>
          <c:h val="0.66488888766673371"/>
        </c:manualLayout>
      </c:layout>
      <c:barChart>
        <c:barDir val="col"/>
        <c:grouping val="clustered"/>
        <c:ser>
          <c:idx val="0"/>
          <c:order val="0"/>
          <c:tx>
            <c:strRef>
              <c:f>Növényteszt!$B$46</c:f>
              <c:strCache>
                <c:ptCount val="1"/>
                <c:pt idx="0">
                  <c:v>1st month</c:v>
                </c:pt>
              </c:strCache>
            </c:strRef>
          </c:tx>
          <c:spPr>
            <a:solidFill>
              <a:sysClr val="window" lastClr="FFFFFF">
                <a:lumMod val="50000"/>
              </a:sysClr>
            </a:solidFill>
          </c:spPr>
          <c:dLbls>
            <c:dLbl>
              <c:idx val="0"/>
              <c:tx>
                <c:rich>
                  <a:bodyPr/>
                  <a:lstStyle/>
                  <a:p>
                    <a:r>
                      <a:rPr lang="hu-HU" sz="800">
                        <a:latin typeface="Times New Roman" pitchFamily="18" charset="0"/>
                        <a:cs typeface="Times New Roman" pitchFamily="18" charset="0"/>
                      </a:rPr>
                      <a:t>a</a:t>
                    </a:r>
                    <a:endParaRPr lang="en-US"/>
                  </a:p>
                </c:rich>
              </c:tx>
              <c:dLblPos val="ctr"/>
              <c:showVal val="1"/>
            </c:dLbl>
            <c:dLbl>
              <c:idx val="1"/>
              <c:tx>
                <c:rich>
                  <a:bodyPr/>
                  <a:lstStyle/>
                  <a:p>
                    <a:r>
                      <a:rPr lang="en-US" sz="800">
                        <a:latin typeface="Times New Roman" pitchFamily="18" charset="0"/>
                        <a:cs typeface="Times New Roman" pitchFamily="18" charset="0"/>
                      </a:rPr>
                      <a:t>b</a:t>
                    </a:r>
                    <a:endParaRPr lang="en-US"/>
                  </a:p>
                </c:rich>
              </c:tx>
              <c:dLblPos val="ctr"/>
              <c:showVal val="1"/>
            </c:dLbl>
            <c:dLbl>
              <c:idx val="2"/>
              <c:tx>
                <c:rich>
                  <a:bodyPr/>
                  <a:lstStyle/>
                  <a:p>
                    <a:r>
                      <a:rPr lang="en-US" sz="800">
                        <a:latin typeface="Times New Roman" pitchFamily="18" charset="0"/>
                        <a:cs typeface="Times New Roman" pitchFamily="18" charset="0"/>
                      </a:rPr>
                      <a:t>c</a:t>
                    </a:r>
                    <a:endParaRPr lang="en-US"/>
                  </a:p>
                </c:rich>
              </c:tx>
              <c:dLblPos val="ctr"/>
              <c:showVal val="1"/>
            </c:dLbl>
            <c:dLbl>
              <c:idx val="3"/>
              <c:tx>
                <c:rich>
                  <a:bodyPr/>
                  <a:lstStyle/>
                  <a:p>
                    <a:r>
                      <a:rPr lang="en-US" sz="800">
                        <a:latin typeface="Times New Roman" pitchFamily="18" charset="0"/>
                        <a:cs typeface="Times New Roman" pitchFamily="18" charset="0"/>
                      </a:rPr>
                      <a:t>c</a:t>
                    </a:r>
                    <a:endParaRPr lang="en-US"/>
                  </a:p>
                </c:rich>
              </c:tx>
              <c:dLblPos val="ctr"/>
              <c:showVal val="1"/>
            </c:dLbl>
            <c:dLbl>
              <c:idx val="4"/>
              <c:tx>
                <c:rich>
                  <a:bodyPr/>
                  <a:lstStyle/>
                  <a:p>
                    <a:r>
                      <a:rPr lang="en-US" sz="800">
                        <a:latin typeface="Times New Roman" pitchFamily="18" charset="0"/>
                        <a:cs typeface="Times New Roman" pitchFamily="18" charset="0"/>
                      </a:rPr>
                      <a:t>d</a:t>
                    </a:r>
                    <a:endParaRPr lang="en-US"/>
                  </a:p>
                </c:rich>
              </c:tx>
              <c:dLblPos val="ctr"/>
              <c:showVal val="1"/>
            </c:dLbl>
            <c:dLbl>
              <c:idx val="5"/>
              <c:tx>
                <c:rich>
                  <a:bodyPr/>
                  <a:lstStyle/>
                  <a:p>
                    <a:r>
                      <a:rPr lang="en-US" sz="800">
                        <a:latin typeface="Times New Roman" pitchFamily="18" charset="0"/>
                        <a:cs typeface="Times New Roman" pitchFamily="18" charset="0"/>
                      </a:rPr>
                      <a:t>e</a:t>
                    </a:r>
                    <a:endParaRPr lang="en-US"/>
                  </a:p>
                </c:rich>
              </c:tx>
              <c:dLblPos val="ctr"/>
              <c:showVal val="1"/>
            </c:dLbl>
            <c:dLbl>
              <c:idx val="6"/>
              <c:tx>
                <c:rich>
                  <a:bodyPr/>
                  <a:lstStyle/>
                  <a:p>
                    <a:r>
                      <a:rPr lang="en-US" sz="800">
                        <a:latin typeface="Times New Roman" pitchFamily="18" charset="0"/>
                        <a:cs typeface="Times New Roman" pitchFamily="18" charset="0"/>
                      </a:rPr>
                      <a:t>e</a:t>
                    </a:r>
                    <a:endParaRPr lang="en-US"/>
                  </a:p>
                </c:rich>
              </c:tx>
              <c:dLblPos val="ctr"/>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percentage"/>
            <c:val val="5"/>
          </c:errBars>
          <c:cat>
            <c:strRef>
              <c:f>Növényteszt!$A$47:$A$53</c:f>
              <c:strCache>
                <c:ptCount val="7"/>
                <c:pt idx="0">
                  <c:v>R</c:v>
                </c:pt>
                <c:pt idx="1">
                  <c:v>S</c:v>
                </c:pt>
                <c:pt idx="2">
                  <c:v>S + 5% RM</c:v>
                </c:pt>
                <c:pt idx="3">
                  <c:v>S + 10% RM</c:v>
                </c:pt>
                <c:pt idx="4">
                  <c:v>S + 20% RM</c:v>
                </c:pt>
                <c:pt idx="5">
                  <c:v>S + 30% RM</c:v>
                </c:pt>
                <c:pt idx="6">
                  <c:v>S + 40% RM</c:v>
                </c:pt>
              </c:strCache>
            </c:strRef>
          </c:cat>
          <c:val>
            <c:numRef>
              <c:f>Növényteszt!$B$47:$B$53</c:f>
              <c:numCache>
                <c:formatCode>0.0</c:formatCode>
                <c:ptCount val="7"/>
                <c:pt idx="0">
                  <c:v>13.912854030501126</c:v>
                </c:pt>
                <c:pt idx="1">
                  <c:v>18.601851851852327</c:v>
                </c:pt>
                <c:pt idx="2">
                  <c:v>8.5758513931888558</c:v>
                </c:pt>
                <c:pt idx="3">
                  <c:v>6.2035714285714283</c:v>
                </c:pt>
                <c:pt idx="4">
                  <c:v>2.1794871794871797</c:v>
                </c:pt>
                <c:pt idx="5">
                  <c:v>0</c:v>
                </c:pt>
                <c:pt idx="6">
                  <c:v>0</c:v>
                </c:pt>
              </c:numCache>
            </c:numRef>
          </c:val>
        </c:ser>
        <c:ser>
          <c:idx val="1"/>
          <c:order val="1"/>
          <c:tx>
            <c:strRef>
              <c:f>Növényteszt!$C$46</c:f>
              <c:strCache>
                <c:ptCount val="1"/>
                <c:pt idx="0">
                  <c:v>2nd month</c:v>
                </c:pt>
              </c:strCache>
            </c:strRef>
          </c:tx>
          <c:spPr>
            <a:solidFill>
              <a:sysClr val="window" lastClr="FFFFFF">
                <a:lumMod val="85000"/>
              </a:sysClr>
            </a:solidFill>
          </c:spPr>
          <c:dLbls>
            <c:dLbl>
              <c:idx val="0"/>
              <c:tx>
                <c:rich>
                  <a:bodyPr/>
                  <a:lstStyle/>
                  <a:p>
                    <a:r>
                      <a:rPr lang="hu-HU" sz="800">
                        <a:latin typeface="Times New Roman" pitchFamily="18" charset="0"/>
                        <a:cs typeface="Times New Roman" pitchFamily="18" charset="0"/>
                      </a:rPr>
                      <a:t>a</a:t>
                    </a:r>
                    <a:endParaRPr lang="en-US"/>
                  </a:p>
                </c:rich>
              </c:tx>
              <c:dLblPos val="ctr"/>
              <c:showVal val="1"/>
            </c:dLbl>
            <c:dLbl>
              <c:idx val="1"/>
              <c:tx>
                <c:rich>
                  <a:bodyPr/>
                  <a:lstStyle/>
                  <a:p>
                    <a:r>
                      <a:rPr lang="en-US" sz="800">
                        <a:latin typeface="Times New Roman" pitchFamily="18" charset="0"/>
                        <a:cs typeface="Times New Roman" pitchFamily="18" charset="0"/>
                      </a:rPr>
                      <a:t>a</a:t>
                    </a:r>
                    <a:endParaRPr lang="en-US"/>
                  </a:p>
                </c:rich>
              </c:tx>
              <c:dLblPos val="ctr"/>
              <c:showVal val="1"/>
            </c:dLbl>
            <c:dLbl>
              <c:idx val="2"/>
              <c:tx>
                <c:rich>
                  <a:bodyPr/>
                  <a:lstStyle/>
                  <a:p>
                    <a:r>
                      <a:rPr lang="hu-HU" sz="800">
                        <a:latin typeface="Times New Roman" pitchFamily="18" charset="0"/>
                        <a:cs typeface="Times New Roman" pitchFamily="18" charset="0"/>
                      </a:rPr>
                      <a:t>b</a:t>
                    </a:r>
                    <a:endParaRPr lang="en-US"/>
                  </a:p>
                </c:rich>
              </c:tx>
              <c:dLblPos val="ctr"/>
              <c:showVal val="1"/>
            </c:dLbl>
            <c:dLbl>
              <c:idx val="3"/>
              <c:tx>
                <c:rich>
                  <a:bodyPr/>
                  <a:lstStyle/>
                  <a:p>
                    <a:r>
                      <a:rPr lang="en-US" sz="800">
                        <a:latin typeface="Times New Roman" pitchFamily="18" charset="0"/>
                        <a:cs typeface="Times New Roman" pitchFamily="18" charset="0"/>
                      </a:rPr>
                      <a:t>b</a:t>
                    </a:r>
                    <a:endParaRPr lang="en-US"/>
                  </a:p>
                </c:rich>
              </c:tx>
              <c:dLblPos val="ctr"/>
              <c:showVal val="1"/>
            </c:dLbl>
            <c:dLbl>
              <c:idx val="4"/>
              <c:tx>
                <c:rich>
                  <a:bodyPr/>
                  <a:lstStyle/>
                  <a:p>
                    <a:r>
                      <a:rPr lang="hu-HU" sz="800">
                        <a:latin typeface="Times New Roman" pitchFamily="18" charset="0"/>
                        <a:cs typeface="Times New Roman" pitchFamily="18" charset="0"/>
                      </a:rPr>
                      <a:t>c</a:t>
                    </a:r>
                    <a:endParaRPr lang="en-US"/>
                  </a:p>
                </c:rich>
              </c:tx>
              <c:dLblPos val="ctr"/>
              <c:showVal val="1"/>
            </c:dLbl>
            <c:dLbl>
              <c:idx val="5"/>
              <c:tx>
                <c:rich>
                  <a:bodyPr/>
                  <a:lstStyle/>
                  <a:p>
                    <a:r>
                      <a:rPr lang="hu-HU" sz="800">
                        <a:latin typeface="Times New Roman" pitchFamily="18" charset="0"/>
                        <a:cs typeface="Times New Roman" pitchFamily="18" charset="0"/>
                      </a:rPr>
                      <a:t>c</a:t>
                    </a:r>
                    <a:endParaRPr lang="en-US"/>
                  </a:p>
                </c:rich>
              </c:tx>
              <c:dLblPos val="ctr"/>
              <c:showVal val="1"/>
            </c:dLbl>
            <c:dLbl>
              <c:idx val="6"/>
              <c:tx>
                <c:rich>
                  <a:bodyPr/>
                  <a:lstStyle/>
                  <a:p>
                    <a:r>
                      <a:rPr lang="en-US" sz="800">
                        <a:latin typeface="Times New Roman" pitchFamily="18" charset="0"/>
                        <a:cs typeface="Times New Roman" pitchFamily="18" charset="0"/>
                      </a:rPr>
                      <a:t>c</a:t>
                    </a:r>
                    <a:endParaRPr lang="en-US"/>
                  </a:p>
                </c:rich>
              </c:tx>
              <c:dLblPos val="ctr"/>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percentage"/>
            <c:val val="5"/>
          </c:errBars>
          <c:cat>
            <c:strRef>
              <c:f>Növényteszt!$A$47:$A$53</c:f>
              <c:strCache>
                <c:ptCount val="7"/>
                <c:pt idx="0">
                  <c:v>R</c:v>
                </c:pt>
                <c:pt idx="1">
                  <c:v>S</c:v>
                </c:pt>
                <c:pt idx="2">
                  <c:v>S + 5% RM</c:v>
                </c:pt>
                <c:pt idx="3">
                  <c:v>S + 10% RM</c:v>
                </c:pt>
                <c:pt idx="4">
                  <c:v>S + 20% RM</c:v>
                </c:pt>
                <c:pt idx="5">
                  <c:v>S + 30% RM</c:v>
                </c:pt>
                <c:pt idx="6">
                  <c:v>S + 40% RM</c:v>
                </c:pt>
              </c:strCache>
            </c:strRef>
          </c:cat>
          <c:val>
            <c:numRef>
              <c:f>Növényteszt!$C$47:$C$53</c:f>
              <c:numCache>
                <c:formatCode>0.0</c:formatCode>
                <c:ptCount val="7"/>
                <c:pt idx="0">
                  <c:v>12.434941520467833</c:v>
                </c:pt>
                <c:pt idx="1">
                  <c:v>18.109597523219815</c:v>
                </c:pt>
                <c:pt idx="2">
                  <c:v>14.111455108359133</c:v>
                </c:pt>
                <c:pt idx="3">
                  <c:v>11.728602552131962</c:v>
                </c:pt>
                <c:pt idx="4">
                  <c:v>2.9570175438596493</c:v>
                </c:pt>
                <c:pt idx="5">
                  <c:v>2.1111111111111112</c:v>
                </c:pt>
                <c:pt idx="6">
                  <c:v>1.675925925925926</c:v>
                </c:pt>
              </c:numCache>
            </c:numRef>
          </c:val>
        </c:ser>
        <c:ser>
          <c:idx val="3"/>
          <c:order val="2"/>
          <c:tx>
            <c:strRef>
              <c:f>Növényteszt!$E$46</c:f>
              <c:strCache>
                <c:ptCount val="1"/>
                <c:pt idx="0">
                  <c:v>8th month</c:v>
                </c:pt>
              </c:strCache>
            </c:strRef>
          </c:tx>
          <c:spPr>
            <a:solidFill>
              <a:sysClr val="windowText" lastClr="000000">
                <a:lumMod val="65000"/>
                <a:lumOff val="35000"/>
                <a:alpha val="97000"/>
              </a:sysClr>
            </a:solidFill>
          </c:spPr>
          <c:dLbls>
            <c:dLbl>
              <c:idx val="0"/>
              <c:tx>
                <c:rich>
                  <a:bodyPr/>
                  <a:lstStyle/>
                  <a:p>
                    <a:r>
                      <a:rPr lang="hu-HU" sz="800">
                        <a:latin typeface="Times New Roman" pitchFamily="18" charset="0"/>
                        <a:cs typeface="Times New Roman" pitchFamily="18" charset="0"/>
                      </a:rPr>
                      <a:t>a</a:t>
                    </a:r>
                    <a:endParaRPr lang="en-US"/>
                  </a:p>
                </c:rich>
              </c:tx>
              <c:dLblPos val="ctr"/>
              <c:showVal val="1"/>
            </c:dLbl>
            <c:dLbl>
              <c:idx val="1"/>
              <c:tx>
                <c:rich>
                  <a:bodyPr/>
                  <a:lstStyle/>
                  <a:p>
                    <a:r>
                      <a:rPr lang="hu-HU" sz="800">
                        <a:latin typeface="Times New Roman" pitchFamily="18" charset="0"/>
                        <a:cs typeface="Times New Roman" pitchFamily="18" charset="0"/>
                      </a:rPr>
                      <a:t>a</a:t>
                    </a:r>
                    <a:endParaRPr lang="en-US"/>
                  </a:p>
                </c:rich>
              </c:tx>
              <c:dLblPos val="ctr"/>
              <c:showVal val="1"/>
            </c:dLbl>
            <c:dLbl>
              <c:idx val="2"/>
              <c:tx>
                <c:rich>
                  <a:bodyPr/>
                  <a:lstStyle/>
                  <a:p>
                    <a:r>
                      <a:rPr lang="hu-HU" sz="800">
                        <a:latin typeface="Times New Roman" pitchFamily="18" charset="0"/>
                        <a:cs typeface="Times New Roman" pitchFamily="18" charset="0"/>
                      </a:rPr>
                      <a:t>a</a:t>
                    </a:r>
                    <a:endParaRPr lang="en-US"/>
                  </a:p>
                </c:rich>
              </c:tx>
              <c:dLblPos val="ctr"/>
              <c:showVal val="1"/>
            </c:dLbl>
            <c:dLbl>
              <c:idx val="3"/>
              <c:tx>
                <c:rich>
                  <a:bodyPr/>
                  <a:lstStyle/>
                  <a:p>
                    <a:r>
                      <a:rPr lang="en-US" sz="800">
                        <a:latin typeface="Times New Roman" pitchFamily="18" charset="0"/>
                        <a:cs typeface="Times New Roman" pitchFamily="18" charset="0"/>
                      </a:rPr>
                      <a:t>a</a:t>
                    </a:r>
                    <a:endParaRPr lang="en-US"/>
                  </a:p>
                </c:rich>
              </c:tx>
              <c:dLblPos val="ctr"/>
              <c:showVal val="1"/>
            </c:dLbl>
            <c:dLbl>
              <c:idx val="4"/>
              <c:tx>
                <c:rich>
                  <a:bodyPr/>
                  <a:lstStyle/>
                  <a:p>
                    <a:r>
                      <a:rPr lang="hu-HU" sz="800">
                        <a:latin typeface="Times New Roman" pitchFamily="18" charset="0"/>
                        <a:cs typeface="Times New Roman" pitchFamily="18" charset="0"/>
                      </a:rPr>
                      <a:t>b</a:t>
                    </a:r>
                    <a:endParaRPr lang="en-US"/>
                  </a:p>
                </c:rich>
              </c:tx>
              <c:dLblPos val="ctr"/>
              <c:showVal val="1"/>
            </c:dLbl>
            <c:dLbl>
              <c:idx val="5"/>
              <c:layout>
                <c:manualLayout>
                  <c:x val="0"/>
                  <c:y val="6.1363608618690113E-2"/>
                </c:manualLayout>
              </c:layout>
              <c:tx>
                <c:rich>
                  <a:bodyPr/>
                  <a:lstStyle/>
                  <a:p>
                    <a:r>
                      <a:rPr lang="en-US" sz="800">
                        <a:latin typeface="Times New Roman" pitchFamily="18" charset="0"/>
                        <a:cs typeface="Times New Roman" pitchFamily="18" charset="0"/>
                      </a:rPr>
                      <a:t>b</a:t>
                    </a:r>
                    <a:endParaRPr lang="en-US"/>
                  </a:p>
                </c:rich>
              </c:tx>
              <c:dLblPos val="outEnd"/>
              <c:showVal val="1"/>
            </c:dLbl>
            <c:dLbl>
              <c:idx val="6"/>
              <c:layout>
                <c:manualLayout>
                  <c:x val="0"/>
                  <c:y val="6.4032188284156813E-2"/>
                </c:manualLayout>
              </c:layout>
              <c:tx>
                <c:rich>
                  <a:bodyPr/>
                  <a:lstStyle/>
                  <a:p>
                    <a:r>
                      <a:rPr lang="en-US" sz="800">
                        <a:latin typeface="Times New Roman" pitchFamily="18" charset="0"/>
                        <a:cs typeface="Times New Roman" pitchFamily="18" charset="0"/>
                      </a:rPr>
                      <a:t>b</a:t>
                    </a:r>
                    <a:endParaRPr lang="en-US"/>
                  </a:p>
                </c:rich>
              </c:tx>
              <c:dLblPos val="outEnd"/>
              <c:showVal val="1"/>
            </c:dLbl>
            <c:txPr>
              <a:bodyPr/>
              <a:lstStyle/>
              <a:p>
                <a:pPr>
                  <a:defRPr sz="800">
                    <a:latin typeface="Times New Roman" pitchFamily="18" charset="0"/>
                    <a:cs typeface="Times New Roman" pitchFamily="18" charset="0"/>
                  </a:defRPr>
                </a:pPr>
                <a:endParaRPr lang="hu-HU"/>
              </a:p>
            </c:txPr>
            <c:dLblPos val="ctr"/>
            <c:showVal val="1"/>
          </c:dLbls>
          <c:errBars>
            <c:errBarType val="both"/>
            <c:errValType val="percentage"/>
            <c:val val="5"/>
          </c:errBars>
          <c:cat>
            <c:strRef>
              <c:f>Növényteszt!$A$47:$A$53</c:f>
              <c:strCache>
                <c:ptCount val="7"/>
                <c:pt idx="0">
                  <c:v>R</c:v>
                </c:pt>
                <c:pt idx="1">
                  <c:v>S</c:v>
                </c:pt>
                <c:pt idx="2">
                  <c:v>S + 5% RM</c:v>
                </c:pt>
                <c:pt idx="3">
                  <c:v>S + 10% RM</c:v>
                </c:pt>
                <c:pt idx="4">
                  <c:v>S + 20% RM</c:v>
                </c:pt>
                <c:pt idx="5">
                  <c:v>S + 30% RM</c:v>
                </c:pt>
                <c:pt idx="6">
                  <c:v>S + 40% RM</c:v>
                </c:pt>
              </c:strCache>
            </c:strRef>
          </c:cat>
          <c:val>
            <c:numRef>
              <c:f>Növényteszt!$E$47:$E$53</c:f>
              <c:numCache>
                <c:formatCode>0.0</c:formatCode>
                <c:ptCount val="7"/>
                <c:pt idx="0">
                  <c:v>14.94375</c:v>
                </c:pt>
                <c:pt idx="1">
                  <c:v>17.09640522875819</c:v>
                </c:pt>
                <c:pt idx="2">
                  <c:v>16.678018575851389</c:v>
                </c:pt>
                <c:pt idx="3">
                  <c:v>14.6875</c:v>
                </c:pt>
                <c:pt idx="4">
                  <c:v>3.3636363636363642</c:v>
                </c:pt>
                <c:pt idx="5">
                  <c:v>1.9000000000000001</c:v>
                </c:pt>
                <c:pt idx="6">
                  <c:v>1.3333333333333335</c:v>
                </c:pt>
              </c:numCache>
            </c:numRef>
          </c:val>
        </c:ser>
        <c:axId val="101496704"/>
        <c:axId val="101577088"/>
      </c:barChart>
      <c:catAx>
        <c:axId val="101496704"/>
        <c:scaling>
          <c:orientation val="minMax"/>
        </c:scaling>
        <c:axPos val="b"/>
        <c:tickLblPos val="nextTo"/>
        <c:txPr>
          <a:bodyPr/>
          <a:lstStyle/>
          <a:p>
            <a:pPr>
              <a:defRPr sz="800">
                <a:latin typeface="Times New Roman" pitchFamily="18" charset="0"/>
                <a:cs typeface="Times New Roman" pitchFamily="18" charset="0"/>
              </a:defRPr>
            </a:pPr>
            <a:endParaRPr lang="hu-HU"/>
          </a:p>
        </c:txPr>
        <c:crossAx val="101577088"/>
        <c:crosses val="autoZero"/>
        <c:auto val="1"/>
        <c:lblAlgn val="ctr"/>
        <c:lblOffset val="100"/>
      </c:catAx>
      <c:valAx>
        <c:axId val="101577088"/>
        <c:scaling>
          <c:orientation val="minMax"/>
          <c:max val="20"/>
          <c:min val="0"/>
        </c:scaling>
        <c:axPos val="l"/>
        <c:majorGridlines/>
        <c:title>
          <c:tx>
            <c:rich>
              <a:bodyPr rot="-5400000" vert="horz"/>
              <a:lstStyle/>
              <a:p>
                <a:pPr>
                  <a:defRPr sz="800" b="0">
                    <a:latin typeface="Times New Roman" pitchFamily="18" charset="0"/>
                    <a:cs typeface="Times New Roman" pitchFamily="18" charset="0"/>
                  </a:defRPr>
                </a:pPr>
                <a:r>
                  <a:rPr lang="hu-HU" sz="800" b="0" i="1" baseline="0">
                    <a:latin typeface="Times New Roman" pitchFamily="18" charset="0"/>
                    <a:cs typeface="Times New Roman" pitchFamily="18" charset="0"/>
                  </a:rPr>
                  <a:t>Sinapis alba </a:t>
                </a:r>
                <a:r>
                  <a:rPr lang="hu-HU" sz="800" b="0" baseline="0">
                    <a:latin typeface="Times New Roman" pitchFamily="18" charset="0"/>
                    <a:cs typeface="Times New Roman" pitchFamily="18" charset="0"/>
                  </a:rPr>
                  <a:t>root length [mm]</a:t>
                </a:r>
                <a:endParaRPr lang="hu-HU" sz="800" b="0">
                  <a:latin typeface="Times New Roman" pitchFamily="18" charset="0"/>
                  <a:cs typeface="Times New Roman" pitchFamily="18" charset="0"/>
                </a:endParaRPr>
              </a:p>
            </c:rich>
          </c:tx>
          <c:layout>
            <c:manualLayout>
              <c:xMode val="edge"/>
              <c:yMode val="edge"/>
              <c:x val="1.6666693575339172E-2"/>
              <c:y val="5.8272561615006123E-2"/>
            </c:manualLayout>
          </c:layout>
        </c:title>
        <c:numFmt formatCode="0" sourceLinked="0"/>
        <c:tickLblPos val="nextTo"/>
        <c:txPr>
          <a:bodyPr/>
          <a:lstStyle/>
          <a:p>
            <a:pPr>
              <a:defRPr sz="800">
                <a:latin typeface="Times New Roman" pitchFamily="18" charset="0"/>
                <a:cs typeface="Times New Roman" pitchFamily="18" charset="0"/>
              </a:defRPr>
            </a:pPr>
            <a:endParaRPr lang="hu-HU"/>
          </a:p>
        </c:txPr>
        <c:crossAx val="101496704"/>
        <c:crosses val="autoZero"/>
        <c:crossBetween val="between"/>
        <c:majorUnit val="2"/>
        <c:minorUnit val="0.4"/>
      </c:valAx>
      <c:spPr>
        <a:ln>
          <a:solidFill>
            <a:schemeClr val="bg1">
              <a:lumMod val="50000"/>
            </a:schemeClr>
          </a:solidFill>
        </a:ln>
      </c:spPr>
    </c:plotArea>
    <c:legend>
      <c:legendPos val="r"/>
      <c:layout>
        <c:manualLayout>
          <c:xMode val="edge"/>
          <c:yMode val="edge"/>
          <c:x val="0.14312270839017788"/>
          <c:y val="4.5317552852146203E-3"/>
          <c:w val="0.78306142119768352"/>
          <c:h val="8.2935063173255524E-2"/>
        </c:manualLayout>
      </c:layout>
      <c:txPr>
        <a:bodyPr/>
        <a:lstStyle/>
        <a:p>
          <a:pPr>
            <a:defRPr sz="800">
              <a:latin typeface="Times New Roman" pitchFamily="18" charset="0"/>
              <a:cs typeface="Times New Roman" pitchFamily="18" charset="0"/>
            </a:defRPr>
          </a:pPr>
          <a:endParaRPr lang="hu-H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plotArea>
      <c:layout>
        <c:manualLayout>
          <c:layoutTarget val="inner"/>
          <c:xMode val="edge"/>
          <c:yMode val="edge"/>
          <c:x val="0.15816717756043902"/>
          <c:y val="0.10564731120497634"/>
          <c:w val="0.81284439210815274"/>
          <c:h val="0.71504292441935569"/>
        </c:manualLayout>
      </c:layout>
      <c:barChart>
        <c:barDir val="col"/>
        <c:grouping val="clustered"/>
        <c:ser>
          <c:idx val="0"/>
          <c:order val="0"/>
          <c:tx>
            <c:strRef>
              <c:f>Növényteszt!$B$46</c:f>
              <c:strCache>
                <c:ptCount val="1"/>
                <c:pt idx="0">
                  <c:v>1st month</c:v>
                </c:pt>
              </c:strCache>
            </c:strRef>
          </c:tx>
          <c:spPr>
            <a:solidFill>
              <a:sysClr val="windowText" lastClr="000000">
                <a:lumMod val="50000"/>
                <a:lumOff val="50000"/>
              </a:sysClr>
            </a:solidFill>
          </c:spPr>
          <c:dLbls>
            <c:dLbl>
              <c:idx val="0"/>
              <c:tx>
                <c:rich>
                  <a:bodyPr/>
                  <a:lstStyle/>
                  <a:p>
                    <a:r>
                      <a:rPr lang="en-US"/>
                      <a:t>a</a:t>
                    </a:r>
                  </a:p>
                </c:rich>
              </c:tx>
              <c:dLblPos val="ctr"/>
              <c:showVal val="1"/>
            </c:dLbl>
            <c:dLbl>
              <c:idx val="1"/>
              <c:tx>
                <c:rich>
                  <a:bodyPr/>
                  <a:lstStyle/>
                  <a:p>
                    <a:r>
                      <a:rPr lang="en-US"/>
                      <a:t>a</a:t>
                    </a:r>
                  </a:p>
                </c:rich>
              </c:tx>
              <c:dLblPos val="ctr"/>
              <c:showVal val="1"/>
            </c:dLbl>
            <c:dLbl>
              <c:idx val="2"/>
              <c:tx>
                <c:rich>
                  <a:bodyPr/>
                  <a:lstStyle/>
                  <a:p>
                    <a:r>
                      <a:rPr lang="en-US"/>
                      <a:t>b</a:t>
                    </a:r>
                  </a:p>
                </c:rich>
              </c:tx>
              <c:dLblPos val="ctr"/>
              <c:showVal val="1"/>
            </c:dLbl>
            <c:dLbl>
              <c:idx val="3"/>
              <c:tx>
                <c:rich>
                  <a:bodyPr/>
                  <a:lstStyle/>
                  <a:p>
                    <a:r>
                      <a:rPr lang="en-US"/>
                      <a:t>bc</a:t>
                    </a:r>
                  </a:p>
                </c:rich>
              </c:tx>
              <c:dLblPos val="ctr"/>
              <c:showVal val="1"/>
            </c:dLbl>
            <c:dLbl>
              <c:idx val="4"/>
              <c:tx>
                <c:rich>
                  <a:bodyPr/>
                  <a:lstStyle/>
                  <a:p>
                    <a:r>
                      <a:rPr lang="en-US"/>
                      <a:t>bc</a:t>
                    </a:r>
                  </a:p>
                </c:rich>
              </c:tx>
              <c:dLblPos val="ctr"/>
              <c:showVal val="1"/>
            </c:dLbl>
            <c:dLbl>
              <c:idx val="5"/>
              <c:tx>
                <c:rich>
                  <a:bodyPr/>
                  <a:lstStyle/>
                  <a:p>
                    <a:r>
                      <a:rPr lang="en-US"/>
                      <a:t>c</a:t>
                    </a:r>
                  </a:p>
                </c:rich>
              </c:tx>
              <c:dLblPos val="ctr"/>
              <c:showVal val="1"/>
            </c:dLbl>
            <c:dLbl>
              <c:idx val="6"/>
              <c:tx>
                <c:rich>
                  <a:bodyPr/>
                  <a:lstStyle/>
                  <a:p>
                    <a:r>
                      <a:rPr lang="en-US"/>
                      <a:t>c</a:t>
                    </a:r>
                  </a:p>
                </c:rich>
              </c:tx>
              <c:dLblPos val="ctr"/>
              <c:showVal val="1"/>
            </c:dLbl>
            <c:dLblPos val="ctr"/>
            <c:showVal val="1"/>
          </c:dLbls>
          <c:errBars>
            <c:errBarType val="both"/>
            <c:errValType val="percentage"/>
            <c:val val="5"/>
          </c:errBars>
          <c:cat>
            <c:strRef>
              <c:f>Növényteszt!$A$58:$A$64</c:f>
              <c:strCache>
                <c:ptCount val="7"/>
                <c:pt idx="0">
                  <c:v>R</c:v>
                </c:pt>
                <c:pt idx="1">
                  <c:v>S</c:v>
                </c:pt>
                <c:pt idx="2">
                  <c:v>S + 5% RM</c:v>
                </c:pt>
                <c:pt idx="3">
                  <c:v>S + 10% RM</c:v>
                </c:pt>
                <c:pt idx="4">
                  <c:v>S + 20% RM</c:v>
                </c:pt>
                <c:pt idx="5">
                  <c:v>S + 30% RM</c:v>
                </c:pt>
                <c:pt idx="6">
                  <c:v>S + 40% RM</c:v>
                </c:pt>
              </c:strCache>
            </c:strRef>
          </c:cat>
          <c:val>
            <c:numRef>
              <c:f>Növényteszt!$B$58:$B$64</c:f>
              <c:numCache>
                <c:formatCode>0.0</c:formatCode>
                <c:ptCount val="7"/>
                <c:pt idx="0">
                  <c:v>11.658169934640521</c:v>
                </c:pt>
                <c:pt idx="1">
                  <c:v>15.391884531590422</c:v>
                </c:pt>
                <c:pt idx="2">
                  <c:v>6.0624999999999956</c:v>
                </c:pt>
                <c:pt idx="3">
                  <c:v>4.2901785714285685</c:v>
                </c:pt>
                <c:pt idx="4">
                  <c:v>3.5</c:v>
                </c:pt>
                <c:pt idx="5">
                  <c:v>0</c:v>
                </c:pt>
                <c:pt idx="6">
                  <c:v>0</c:v>
                </c:pt>
              </c:numCache>
            </c:numRef>
          </c:val>
        </c:ser>
        <c:ser>
          <c:idx val="1"/>
          <c:order val="1"/>
          <c:tx>
            <c:strRef>
              <c:f>Növényteszt!$C$46</c:f>
              <c:strCache>
                <c:ptCount val="1"/>
                <c:pt idx="0">
                  <c:v>2nd month</c:v>
                </c:pt>
              </c:strCache>
            </c:strRef>
          </c:tx>
          <c:spPr>
            <a:solidFill>
              <a:sysClr val="window" lastClr="FFFFFF">
                <a:lumMod val="85000"/>
              </a:sysClr>
            </a:solidFill>
          </c:spPr>
          <c:dLbls>
            <c:dLbl>
              <c:idx val="0"/>
              <c:tx>
                <c:rich>
                  <a:bodyPr/>
                  <a:lstStyle/>
                  <a:p>
                    <a:r>
                      <a:rPr lang="hu-HU"/>
                      <a:t>a</a:t>
                    </a:r>
                    <a:endParaRPr lang="en-US"/>
                  </a:p>
                </c:rich>
              </c:tx>
              <c:dLblPos val="ctr"/>
              <c:showVal val="1"/>
            </c:dLbl>
            <c:dLbl>
              <c:idx val="1"/>
              <c:tx>
                <c:rich>
                  <a:bodyPr/>
                  <a:lstStyle/>
                  <a:p>
                    <a:r>
                      <a:rPr lang="en-US"/>
                      <a:t>b</a:t>
                    </a:r>
                  </a:p>
                </c:rich>
              </c:tx>
              <c:dLblPos val="ctr"/>
              <c:showVal val="1"/>
            </c:dLbl>
            <c:dLbl>
              <c:idx val="2"/>
              <c:tx>
                <c:rich>
                  <a:bodyPr/>
                  <a:lstStyle/>
                  <a:p>
                    <a:r>
                      <a:rPr lang="hu-HU"/>
                      <a:t>b</a:t>
                    </a:r>
                    <a:endParaRPr lang="en-US"/>
                  </a:p>
                </c:rich>
              </c:tx>
              <c:dLblPos val="ctr"/>
              <c:showVal val="1"/>
            </c:dLbl>
            <c:dLbl>
              <c:idx val="3"/>
              <c:tx>
                <c:rich>
                  <a:bodyPr/>
                  <a:lstStyle/>
                  <a:p>
                    <a:r>
                      <a:rPr lang="en-US"/>
                      <a:t>ca</a:t>
                    </a:r>
                  </a:p>
                </c:rich>
              </c:tx>
              <c:dLblPos val="ctr"/>
              <c:showVal val="1"/>
            </c:dLbl>
            <c:dLbl>
              <c:idx val="4"/>
              <c:tx>
                <c:rich>
                  <a:bodyPr/>
                  <a:lstStyle/>
                  <a:p>
                    <a:r>
                      <a:rPr lang="en-US"/>
                      <a:t>d</a:t>
                    </a:r>
                  </a:p>
                </c:rich>
              </c:tx>
              <c:dLblPos val="ctr"/>
              <c:showVal val="1"/>
            </c:dLbl>
            <c:dLbl>
              <c:idx val="5"/>
              <c:tx>
                <c:rich>
                  <a:bodyPr/>
                  <a:lstStyle/>
                  <a:p>
                    <a:r>
                      <a:rPr lang="en-US"/>
                      <a:t>d</a:t>
                    </a:r>
                  </a:p>
                </c:rich>
              </c:tx>
              <c:dLblPos val="ctr"/>
              <c:showVal val="1"/>
            </c:dLbl>
            <c:dLbl>
              <c:idx val="6"/>
              <c:tx>
                <c:rich>
                  <a:bodyPr/>
                  <a:lstStyle/>
                  <a:p>
                    <a:r>
                      <a:rPr lang="en-US"/>
                      <a:t>d</a:t>
                    </a:r>
                  </a:p>
                </c:rich>
              </c:tx>
              <c:dLblPos val="ctr"/>
              <c:showVal val="1"/>
            </c:dLbl>
            <c:dLblPos val="ctr"/>
            <c:showVal val="1"/>
          </c:dLbls>
          <c:errBars>
            <c:errBarType val="both"/>
            <c:errValType val="percentage"/>
            <c:val val="5"/>
          </c:errBars>
          <c:cat>
            <c:strRef>
              <c:f>Növényteszt!$A$58:$A$64</c:f>
              <c:strCache>
                <c:ptCount val="7"/>
                <c:pt idx="0">
                  <c:v>R</c:v>
                </c:pt>
                <c:pt idx="1">
                  <c:v>S</c:v>
                </c:pt>
                <c:pt idx="2">
                  <c:v>S + 5% RM</c:v>
                </c:pt>
                <c:pt idx="3">
                  <c:v>S + 10% RM</c:v>
                </c:pt>
                <c:pt idx="4">
                  <c:v>S + 20% RM</c:v>
                </c:pt>
                <c:pt idx="5">
                  <c:v>S + 30% RM</c:v>
                </c:pt>
                <c:pt idx="6">
                  <c:v>S + 40% RM</c:v>
                </c:pt>
              </c:strCache>
            </c:strRef>
          </c:cat>
          <c:val>
            <c:numRef>
              <c:f>Növényteszt!$C$58:$C$64</c:f>
              <c:numCache>
                <c:formatCode>0.0</c:formatCode>
                <c:ptCount val="7"/>
                <c:pt idx="0">
                  <c:v>15.865058479532166</c:v>
                </c:pt>
                <c:pt idx="1">
                  <c:v>20.092300194931589</c:v>
                </c:pt>
                <c:pt idx="2">
                  <c:v>19.741371402362116</c:v>
                </c:pt>
                <c:pt idx="3">
                  <c:v>13.141666666666666</c:v>
                </c:pt>
                <c:pt idx="4">
                  <c:v>5.1263157894736837</c:v>
                </c:pt>
                <c:pt idx="5">
                  <c:v>2.5555555555555554</c:v>
                </c:pt>
                <c:pt idx="6">
                  <c:v>2.6203703703704169</c:v>
                </c:pt>
              </c:numCache>
            </c:numRef>
          </c:val>
        </c:ser>
        <c:ser>
          <c:idx val="3"/>
          <c:order val="2"/>
          <c:tx>
            <c:strRef>
              <c:f>Növényteszt!$E$46</c:f>
              <c:strCache>
                <c:ptCount val="1"/>
                <c:pt idx="0">
                  <c:v>8th month</c:v>
                </c:pt>
              </c:strCache>
            </c:strRef>
          </c:tx>
          <c:spPr>
            <a:solidFill>
              <a:sysClr val="windowText" lastClr="000000">
                <a:lumMod val="65000"/>
                <a:lumOff val="35000"/>
                <a:alpha val="96000"/>
              </a:sysClr>
            </a:solidFill>
          </c:spPr>
          <c:dLbls>
            <c:dLbl>
              <c:idx val="0"/>
              <c:tx>
                <c:rich>
                  <a:bodyPr/>
                  <a:lstStyle/>
                  <a:p>
                    <a:r>
                      <a:rPr lang="hu-HU"/>
                      <a:t>a</a:t>
                    </a:r>
                    <a:endParaRPr lang="en-US"/>
                  </a:p>
                </c:rich>
              </c:tx>
              <c:dLblPos val="ctr"/>
              <c:showVal val="1"/>
            </c:dLbl>
            <c:dLbl>
              <c:idx val="1"/>
              <c:tx>
                <c:rich>
                  <a:bodyPr/>
                  <a:lstStyle/>
                  <a:p>
                    <a:r>
                      <a:rPr lang="hu-HU"/>
                      <a:t>a</a:t>
                    </a:r>
                    <a:endParaRPr lang="en-US"/>
                  </a:p>
                </c:rich>
              </c:tx>
              <c:dLblPos val="ctr"/>
              <c:showVal val="1"/>
            </c:dLbl>
            <c:dLbl>
              <c:idx val="2"/>
              <c:layout>
                <c:manualLayout>
                  <c:x val="2.3432923257176411E-3"/>
                  <c:y val="0.30348104742721138"/>
                </c:manualLayout>
              </c:layout>
              <c:tx>
                <c:rich>
                  <a:bodyPr/>
                  <a:lstStyle/>
                  <a:p>
                    <a:r>
                      <a:rPr lang="en-US"/>
                      <a:t>a</a:t>
                    </a:r>
                  </a:p>
                </c:rich>
              </c:tx>
              <c:dLblPos val="outEnd"/>
              <c:showVal val="1"/>
            </c:dLbl>
            <c:dLbl>
              <c:idx val="3"/>
              <c:tx>
                <c:rich>
                  <a:bodyPr/>
                  <a:lstStyle/>
                  <a:p>
                    <a:r>
                      <a:rPr lang="en-US"/>
                      <a:t>b</a:t>
                    </a:r>
                  </a:p>
                </c:rich>
              </c:tx>
              <c:dLblPos val="ctr"/>
              <c:showVal val="1"/>
            </c:dLbl>
            <c:dLbl>
              <c:idx val="4"/>
              <c:layout>
                <c:manualLayout>
                  <c:x val="8.5919726057645573E-17"/>
                  <c:y val="0.14386894952084694"/>
                </c:manualLayout>
              </c:layout>
              <c:tx>
                <c:rich>
                  <a:bodyPr/>
                  <a:lstStyle/>
                  <a:p>
                    <a:r>
                      <a:rPr lang="hu-HU"/>
                      <a:t>c</a:t>
                    </a:r>
                    <a:endParaRPr lang="en-US"/>
                  </a:p>
                </c:rich>
              </c:tx>
              <c:dLblPos val="outEnd"/>
              <c:showVal val="1"/>
            </c:dLbl>
            <c:dLbl>
              <c:idx val="5"/>
              <c:layout>
                <c:manualLayout>
                  <c:x val="0"/>
                  <c:y val="0.11950314350241274"/>
                </c:manualLayout>
              </c:layout>
              <c:tx>
                <c:rich>
                  <a:bodyPr/>
                  <a:lstStyle/>
                  <a:p>
                    <a:r>
                      <a:rPr lang="en-US"/>
                      <a:t>c</a:t>
                    </a:r>
                  </a:p>
                </c:rich>
              </c:tx>
              <c:dLblPos val="outEnd"/>
              <c:showVal val="1"/>
            </c:dLbl>
            <c:dLbl>
              <c:idx val="6"/>
              <c:tx>
                <c:rich>
                  <a:bodyPr/>
                  <a:lstStyle/>
                  <a:p>
                    <a:r>
                      <a:rPr lang="en-US"/>
                      <a:t>c</a:t>
                    </a:r>
                  </a:p>
                </c:rich>
              </c:tx>
              <c:dLblPos val="ctr"/>
              <c:showVal val="1"/>
            </c:dLbl>
            <c:dLblPos val="ctr"/>
            <c:showVal val="1"/>
          </c:dLbls>
          <c:errBars>
            <c:errBarType val="both"/>
            <c:errValType val="percentage"/>
            <c:val val="5"/>
          </c:errBars>
          <c:cat>
            <c:strRef>
              <c:f>Növényteszt!$A$58:$A$64</c:f>
              <c:strCache>
                <c:ptCount val="7"/>
                <c:pt idx="0">
                  <c:v>R</c:v>
                </c:pt>
                <c:pt idx="1">
                  <c:v>S</c:v>
                </c:pt>
                <c:pt idx="2">
                  <c:v>S + 5% RM</c:v>
                </c:pt>
                <c:pt idx="3">
                  <c:v>S + 10% RM</c:v>
                </c:pt>
                <c:pt idx="4">
                  <c:v>S + 20% RM</c:v>
                </c:pt>
                <c:pt idx="5">
                  <c:v>S + 30% RM</c:v>
                </c:pt>
                <c:pt idx="6">
                  <c:v>S + 40% RM</c:v>
                </c:pt>
              </c:strCache>
            </c:strRef>
          </c:cat>
          <c:val>
            <c:numRef>
              <c:f>Növényteszt!$E$58:$E$64</c:f>
              <c:numCache>
                <c:formatCode>0.0</c:formatCode>
                <c:ptCount val="7"/>
                <c:pt idx="0">
                  <c:v>18.569444444444443</c:v>
                </c:pt>
                <c:pt idx="1">
                  <c:v>19.583333333332689</c:v>
                </c:pt>
                <c:pt idx="2">
                  <c:v>18.393274853801167</c:v>
                </c:pt>
                <c:pt idx="3">
                  <c:v>15.257352941176448</c:v>
                </c:pt>
                <c:pt idx="4">
                  <c:v>5.71875</c:v>
                </c:pt>
                <c:pt idx="5">
                  <c:v>5.3</c:v>
                </c:pt>
                <c:pt idx="6">
                  <c:v>4.8928571428571415</c:v>
                </c:pt>
              </c:numCache>
            </c:numRef>
          </c:val>
        </c:ser>
        <c:axId val="102291712"/>
        <c:axId val="102326656"/>
      </c:barChart>
      <c:catAx>
        <c:axId val="102291712"/>
        <c:scaling>
          <c:orientation val="minMax"/>
        </c:scaling>
        <c:axPos val="b"/>
        <c:tickLblPos val="nextTo"/>
        <c:crossAx val="102326656"/>
        <c:crosses val="autoZero"/>
        <c:auto val="1"/>
        <c:lblAlgn val="ctr"/>
        <c:lblOffset val="100"/>
      </c:catAx>
      <c:valAx>
        <c:axId val="102326656"/>
        <c:scaling>
          <c:orientation val="minMax"/>
          <c:max val="22"/>
          <c:min val="0"/>
        </c:scaling>
        <c:axPos val="l"/>
        <c:majorGridlines/>
        <c:title>
          <c:tx>
            <c:rich>
              <a:bodyPr rot="-5400000" vert="horz"/>
              <a:lstStyle/>
              <a:p>
                <a:pPr>
                  <a:defRPr b="0"/>
                </a:pPr>
                <a:r>
                  <a:rPr lang="hu-HU" b="0" i="1"/>
                  <a:t>Sinapis alba</a:t>
                </a:r>
                <a:r>
                  <a:rPr lang="hu-HU" b="0"/>
                  <a:t> shoot length [mm]</a:t>
                </a:r>
              </a:p>
            </c:rich>
          </c:tx>
          <c:layout>
            <c:manualLayout>
              <c:xMode val="edge"/>
              <c:yMode val="edge"/>
              <c:x val="2.4476167343588089E-2"/>
              <c:y val="9.8532388069634463E-2"/>
            </c:manualLayout>
          </c:layout>
        </c:title>
        <c:numFmt formatCode="0" sourceLinked="0"/>
        <c:tickLblPos val="nextTo"/>
        <c:crossAx val="102291712"/>
        <c:crosses val="autoZero"/>
        <c:crossBetween val="between"/>
        <c:majorUnit val="2"/>
        <c:minorUnit val="1"/>
      </c:valAx>
      <c:spPr>
        <a:ln>
          <a:solidFill>
            <a:sysClr val="window" lastClr="FFFFFF">
              <a:lumMod val="50000"/>
            </a:sysClr>
          </a:solidFill>
        </a:ln>
      </c:spPr>
    </c:plotArea>
    <c:legend>
      <c:legendPos val="r"/>
      <c:layout>
        <c:manualLayout>
          <c:xMode val="edge"/>
          <c:yMode val="edge"/>
          <c:x val="0.15492410383493194"/>
          <c:y val="1.8609389741200816E-3"/>
          <c:w val="0.76698140182691921"/>
          <c:h val="8.8953665898085538E-2"/>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hu-H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plotArea>
      <c:layout>
        <c:manualLayout>
          <c:layoutTarget val="inner"/>
          <c:xMode val="edge"/>
          <c:yMode val="edge"/>
          <c:x val="0.12274402905781912"/>
          <c:y val="0.10270074473454448"/>
          <c:w val="0.81034350277219502"/>
          <c:h val="0.6878498225945302"/>
        </c:manualLayout>
      </c:layout>
      <c:barChart>
        <c:barDir val="col"/>
        <c:grouping val="clustered"/>
        <c:ser>
          <c:idx val="0"/>
          <c:order val="0"/>
          <c:tx>
            <c:strRef>
              <c:f>Collembola!$B$27</c:f>
              <c:strCache>
                <c:ptCount val="1"/>
                <c:pt idx="0">
                  <c:v>1st month</c:v>
                </c:pt>
              </c:strCache>
            </c:strRef>
          </c:tx>
          <c:spPr>
            <a:solidFill>
              <a:sysClr val="window" lastClr="FFFFFF">
                <a:lumMod val="50000"/>
              </a:sysClr>
            </a:solidFill>
          </c:spPr>
          <c:dLbls>
            <c:dLbl>
              <c:idx val="0"/>
              <c:tx>
                <c:rich>
                  <a:bodyPr/>
                  <a:lstStyle/>
                  <a:p>
                    <a:r>
                      <a:rPr lang="hu-HU"/>
                      <a:t>a</a:t>
                    </a:r>
                    <a:endParaRPr lang="en-US"/>
                  </a:p>
                </c:rich>
              </c:tx>
              <c:dLblPos val="ctr"/>
              <c:showVal val="1"/>
            </c:dLbl>
            <c:dLbl>
              <c:idx val="1"/>
              <c:tx>
                <c:rich>
                  <a:bodyPr/>
                  <a:lstStyle/>
                  <a:p>
                    <a:r>
                      <a:rPr lang="en-US"/>
                      <a:t>a</a:t>
                    </a:r>
                  </a:p>
                </c:rich>
              </c:tx>
              <c:dLblPos val="ctr"/>
              <c:showVal val="1"/>
            </c:dLbl>
            <c:dLbl>
              <c:idx val="2"/>
              <c:tx>
                <c:rich>
                  <a:bodyPr/>
                  <a:lstStyle/>
                  <a:p>
                    <a:r>
                      <a:rPr lang="en-US"/>
                      <a:t>a</a:t>
                    </a:r>
                  </a:p>
                </c:rich>
              </c:tx>
              <c:dLblPos val="ctr"/>
              <c:showVal val="1"/>
            </c:dLbl>
            <c:dLbl>
              <c:idx val="3"/>
              <c:tx>
                <c:rich>
                  <a:bodyPr/>
                  <a:lstStyle/>
                  <a:p>
                    <a:r>
                      <a:rPr lang="en-US"/>
                      <a:t>a</a:t>
                    </a:r>
                  </a:p>
                </c:rich>
              </c:tx>
              <c:dLblPos val="ctr"/>
              <c:showVal val="1"/>
            </c:dLbl>
            <c:dLbl>
              <c:idx val="4"/>
              <c:tx>
                <c:rich>
                  <a:bodyPr/>
                  <a:lstStyle/>
                  <a:p>
                    <a:r>
                      <a:rPr lang="en-US"/>
                      <a:t>a</a:t>
                    </a:r>
                  </a:p>
                </c:rich>
              </c:tx>
              <c:dLblPos val="ctr"/>
              <c:showVal val="1"/>
            </c:dLbl>
            <c:dLbl>
              <c:idx val="5"/>
              <c:tx>
                <c:rich>
                  <a:bodyPr/>
                  <a:lstStyle/>
                  <a:p>
                    <a:r>
                      <a:rPr lang="en-US"/>
                      <a:t>a</a:t>
                    </a:r>
                  </a:p>
                </c:rich>
              </c:tx>
              <c:dLblPos val="ctr"/>
              <c:showVal val="1"/>
            </c:dLbl>
            <c:dLbl>
              <c:idx val="6"/>
              <c:tx>
                <c:rich>
                  <a:bodyPr/>
                  <a:lstStyle/>
                  <a:p>
                    <a:r>
                      <a:rPr lang="en-US"/>
                      <a:t>a</a:t>
                    </a:r>
                  </a:p>
                </c:rich>
              </c:tx>
              <c:dLblPos val="ctr"/>
              <c:showVal val="1"/>
            </c:dLbl>
            <c:dLblPos val="ctr"/>
            <c:showVal val="1"/>
          </c:dLbls>
          <c:errBars>
            <c:errBarType val="both"/>
            <c:errValType val="cust"/>
            <c:plus>
              <c:numRef>
                <c:f>Collembola!$B$36:$B$42</c:f>
                <c:numCache>
                  <c:formatCode>General</c:formatCode>
                  <c:ptCount val="7"/>
                  <c:pt idx="0">
                    <c:v>3.2145502536643202</c:v>
                  </c:pt>
                  <c:pt idx="1">
                    <c:v>0.5773502691896093</c:v>
                  </c:pt>
                  <c:pt idx="2">
                    <c:v>0.5773502691896093</c:v>
                  </c:pt>
                  <c:pt idx="3">
                    <c:v>1.5275252316519399</c:v>
                  </c:pt>
                  <c:pt idx="4">
                    <c:v>2.6457513110645912</c:v>
                  </c:pt>
                  <c:pt idx="5">
                    <c:v>2.6457513110645912</c:v>
                  </c:pt>
                  <c:pt idx="6">
                    <c:v>1.5275252316519399</c:v>
                  </c:pt>
                </c:numCache>
              </c:numRef>
            </c:plus>
            <c:minus>
              <c:numRef>
                <c:f>Collembola!$B$36:$B$42</c:f>
                <c:numCache>
                  <c:formatCode>General</c:formatCode>
                  <c:ptCount val="7"/>
                  <c:pt idx="0">
                    <c:v>3.2145502536643202</c:v>
                  </c:pt>
                  <c:pt idx="1">
                    <c:v>0.5773502691896093</c:v>
                  </c:pt>
                  <c:pt idx="2">
                    <c:v>0.5773502691896093</c:v>
                  </c:pt>
                  <c:pt idx="3">
                    <c:v>1.5275252316519399</c:v>
                  </c:pt>
                  <c:pt idx="4">
                    <c:v>2.6457513110645912</c:v>
                  </c:pt>
                  <c:pt idx="5">
                    <c:v>2.6457513110645912</c:v>
                  </c:pt>
                  <c:pt idx="6">
                    <c:v>1.5275252316519399</c:v>
                  </c:pt>
                </c:numCache>
              </c:numRef>
            </c:minus>
          </c:errBars>
          <c:cat>
            <c:strRef>
              <c:f>Collembola!$A$28:$A$34</c:f>
              <c:strCache>
                <c:ptCount val="7"/>
                <c:pt idx="0">
                  <c:v>R</c:v>
                </c:pt>
                <c:pt idx="1">
                  <c:v>S</c:v>
                </c:pt>
                <c:pt idx="2">
                  <c:v>S + 5% RM</c:v>
                </c:pt>
                <c:pt idx="3">
                  <c:v>S + 10% RM</c:v>
                </c:pt>
                <c:pt idx="4">
                  <c:v>S + 20% RM</c:v>
                </c:pt>
                <c:pt idx="5">
                  <c:v>S + 30% RM</c:v>
                </c:pt>
                <c:pt idx="6">
                  <c:v>S + 40% RM</c:v>
                </c:pt>
              </c:strCache>
            </c:strRef>
          </c:cat>
          <c:val>
            <c:numRef>
              <c:f>Collembola!$B$28:$B$34</c:f>
              <c:numCache>
                <c:formatCode>0</c:formatCode>
                <c:ptCount val="7"/>
                <c:pt idx="0">
                  <c:v>15.333333333333334</c:v>
                </c:pt>
                <c:pt idx="1">
                  <c:v>16.666666666666668</c:v>
                </c:pt>
                <c:pt idx="2">
                  <c:v>15.666666666666726</c:v>
                </c:pt>
                <c:pt idx="3">
                  <c:v>16.666666666666668</c:v>
                </c:pt>
                <c:pt idx="4">
                  <c:v>17</c:v>
                </c:pt>
                <c:pt idx="5">
                  <c:v>15</c:v>
                </c:pt>
                <c:pt idx="6">
                  <c:v>13.666666666666726</c:v>
                </c:pt>
              </c:numCache>
            </c:numRef>
          </c:val>
        </c:ser>
        <c:ser>
          <c:idx val="1"/>
          <c:order val="1"/>
          <c:tx>
            <c:strRef>
              <c:f>Collembola!$C$27</c:f>
              <c:strCache>
                <c:ptCount val="1"/>
                <c:pt idx="0">
                  <c:v>2nd month</c:v>
                </c:pt>
              </c:strCache>
            </c:strRef>
          </c:tx>
          <c:spPr>
            <a:solidFill>
              <a:sysClr val="window" lastClr="FFFFFF">
                <a:lumMod val="85000"/>
              </a:sysClr>
            </a:solidFill>
          </c:spPr>
          <c:dLbls>
            <c:dLbl>
              <c:idx val="0"/>
              <c:tx>
                <c:rich>
                  <a:bodyPr/>
                  <a:lstStyle/>
                  <a:p>
                    <a:r>
                      <a:rPr lang="en-US"/>
                      <a:t>a</a:t>
                    </a:r>
                  </a:p>
                </c:rich>
              </c:tx>
              <c:dLblPos val="ctr"/>
              <c:showVal val="1"/>
            </c:dLbl>
            <c:dLbl>
              <c:idx val="1"/>
              <c:tx>
                <c:rich>
                  <a:bodyPr/>
                  <a:lstStyle/>
                  <a:p>
                    <a:r>
                      <a:rPr lang="en-US"/>
                      <a:t>a</a:t>
                    </a:r>
                  </a:p>
                </c:rich>
              </c:tx>
              <c:dLblPos val="ctr"/>
              <c:showVal val="1"/>
            </c:dLbl>
            <c:dLbl>
              <c:idx val="2"/>
              <c:tx>
                <c:rich>
                  <a:bodyPr/>
                  <a:lstStyle/>
                  <a:p>
                    <a:r>
                      <a:rPr lang="en-US"/>
                      <a:t>a</a:t>
                    </a:r>
                  </a:p>
                </c:rich>
              </c:tx>
              <c:dLblPos val="ctr"/>
              <c:showVal val="1"/>
            </c:dLbl>
            <c:dLbl>
              <c:idx val="3"/>
              <c:tx>
                <c:rich>
                  <a:bodyPr/>
                  <a:lstStyle/>
                  <a:p>
                    <a:r>
                      <a:rPr lang="en-US"/>
                      <a:t>a</a:t>
                    </a:r>
                  </a:p>
                </c:rich>
              </c:tx>
              <c:dLblPos val="ctr"/>
              <c:showVal val="1"/>
            </c:dLbl>
            <c:dLbl>
              <c:idx val="4"/>
              <c:tx>
                <c:rich>
                  <a:bodyPr/>
                  <a:lstStyle/>
                  <a:p>
                    <a:r>
                      <a:rPr lang="en-US"/>
                      <a:t>a</a:t>
                    </a:r>
                  </a:p>
                </c:rich>
              </c:tx>
              <c:dLblPos val="ctr"/>
              <c:showVal val="1"/>
            </c:dLbl>
            <c:dLbl>
              <c:idx val="5"/>
              <c:tx>
                <c:rich>
                  <a:bodyPr/>
                  <a:lstStyle/>
                  <a:p>
                    <a:r>
                      <a:rPr lang="en-US"/>
                      <a:t>a</a:t>
                    </a:r>
                  </a:p>
                </c:rich>
              </c:tx>
              <c:dLblPos val="ctr"/>
              <c:showVal val="1"/>
            </c:dLbl>
            <c:dLbl>
              <c:idx val="6"/>
              <c:tx>
                <c:rich>
                  <a:bodyPr/>
                  <a:lstStyle/>
                  <a:p>
                    <a:r>
                      <a:rPr lang="en-US"/>
                      <a:t>b</a:t>
                    </a:r>
                  </a:p>
                </c:rich>
              </c:tx>
              <c:dLblPos val="ctr"/>
              <c:showVal val="1"/>
            </c:dLbl>
            <c:dLblPos val="ctr"/>
            <c:showVal val="1"/>
          </c:dLbls>
          <c:errBars>
            <c:errBarType val="both"/>
            <c:errValType val="cust"/>
            <c:plus>
              <c:numRef>
                <c:f>Collembola!$C$36:$C$42</c:f>
                <c:numCache>
                  <c:formatCode>General</c:formatCode>
                  <c:ptCount val="7"/>
                  <c:pt idx="0">
                    <c:v>0.70710678118654757</c:v>
                  </c:pt>
                  <c:pt idx="1">
                    <c:v>1</c:v>
                  </c:pt>
                  <c:pt idx="2">
                    <c:v>3.2145502536643202</c:v>
                  </c:pt>
                  <c:pt idx="3">
                    <c:v>0.5773502691896093</c:v>
                  </c:pt>
                  <c:pt idx="4">
                    <c:v>4.9328828623162355</c:v>
                  </c:pt>
                  <c:pt idx="5">
                    <c:v>2.6457513110645912</c:v>
                  </c:pt>
                  <c:pt idx="6">
                    <c:v>2.6457513110645912</c:v>
                  </c:pt>
                </c:numCache>
              </c:numRef>
            </c:plus>
            <c:minus>
              <c:numRef>
                <c:f>Collembola!$C$36:$C$42</c:f>
                <c:numCache>
                  <c:formatCode>General</c:formatCode>
                  <c:ptCount val="7"/>
                  <c:pt idx="0">
                    <c:v>0.70710678118654757</c:v>
                  </c:pt>
                  <c:pt idx="1">
                    <c:v>1</c:v>
                  </c:pt>
                  <c:pt idx="2">
                    <c:v>3.2145502536643202</c:v>
                  </c:pt>
                  <c:pt idx="3">
                    <c:v>0.5773502691896093</c:v>
                  </c:pt>
                  <c:pt idx="4">
                    <c:v>4.9328828623162355</c:v>
                  </c:pt>
                  <c:pt idx="5">
                    <c:v>2.6457513110645912</c:v>
                  </c:pt>
                  <c:pt idx="6">
                    <c:v>2.6457513110645912</c:v>
                  </c:pt>
                </c:numCache>
              </c:numRef>
            </c:minus>
          </c:errBars>
          <c:cat>
            <c:strRef>
              <c:f>Collembola!$A$28:$A$34</c:f>
              <c:strCache>
                <c:ptCount val="7"/>
                <c:pt idx="0">
                  <c:v>R</c:v>
                </c:pt>
                <c:pt idx="1">
                  <c:v>S</c:v>
                </c:pt>
                <c:pt idx="2">
                  <c:v>S + 5% RM</c:v>
                </c:pt>
                <c:pt idx="3">
                  <c:v>S + 10% RM</c:v>
                </c:pt>
                <c:pt idx="4">
                  <c:v>S + 20% RM</c:v>
                </c:pt>
                <c:pt idx="5">
                  <c:v>S + 30% RM</c:v>
                </c:pt>
                <c:pt idx="6">
                  <c:v>S + 40% RM</c:v>
                </c:pt>
              </c:strCache>
            </c:strRef>
          </c:cat>
          <c:val>
            <c:numRef>
              <c:f>Collembola!$C$28:$C$34</c:f>
              <c:numCache>
                <c:formatCode>General</c:formatCode>
                <c:ptCount val="7"/>
                <c:pt idx="0">
                  <c:v>16.5</c:v>
                </c:pt>
                <c:pt idx="1">
                  <c:v>17</c:v>
                </c:pt>
                <c:pt idx="2" formatCode="0">
                  <c:v>16.333333333333016</c:v>
                </c:pt>
                <c:pt idx="3" formatCode="0">
                  <c:v>17.666666666666668</c:v>
                </c:pt>
                <c:pt idx="4" formatCode="0">
                  <c:v>15.666666666666726</c:v>
                </c:pt>
                <c:pt idx="5" formatCode="0">
                  <c:v>15</c:v>
                </c:pt>
                <c:pt idx="6" formatCode="0">
                  <c:v>9</c:v>
                </c:pt>
              </c:numCache>
            </c:numRef>
          </c:val>
        </c:ser>
        <c:ser>
          <c:idx val="3"/>
          <c:order val="2"/>
          <c:tx>
            <c:strRef>
              <c:f>Collembola!$E$27</c:f>
              <c:strCache>
                <c:ptCount val="1"/>
                <c:pt idx="0">
                  <c:v>8th month</c:v>
                </c:pt>
              </c:strCache>
            </c:strRef>
          </c:tx>
          <c:spPr>
            <a:solidFill>
              <a:sysClr val="windowText" lastClr="000000">
                <a:lumMod val="65000"/>
                <a:lumOff val="35000"/>
                <a:alpha val="97000"/>
              </a:sysClr>
            </a:solidFill>
          </c:spPr>
          <c:dLbls>
            <c:dLbl>
              <c:idx val="0"/>
              <c:tx>
                <c:rich>
                  <a:bodyPr/>
                  <a:lstStyle/>
                  <a:p>
                    <a:r>
                      <a:rPr lang="en-US"/>
                      <a:t>a</a:t>
                    </a:r>
                  </a:p>
                </c:rich>
              </c:tx>
              <c:dLblPos val="ctr"/>
              <c:showVal val="1"/>
            </c:dLbl>
            <c:dLbl>
              <c:idx val="1"/>
              <c:tx>
                <c:rich>
                  <a:bodyPr/>
                  <a:lstStyle/>
                  <a:p>
                    <a:r>
                      <a:rPr lang="en-US"/>
                      <a:t>a</a:t>
                    </a:r>
                  </a:p>
                </c:rich>
              </c:tx>
              <c:dLblPos val="ctr"/>
              <c:showVal val="1"/>
            </c:dLbl>
            <c:dLbl>
              <c:idx val="2"/>
              <c:tx>
                <c:rich>
                  <a:bodyPr/>
                  <a:lstStyle/>
                  <a:p>
                    <a:r>
                      <a:rPr lang="en-US"/>
                      <a:t>a</a:t>
                    </a:r>
                  </a:p>
                </c:rich>
              </c:tx>
              <c:dLblPos val="ctr"/>
              <c:showVal val="1"/>
            </c:dLbl>
            <c:dLbl>
              <c:idx val="3"/>
              <c:tx>
                <c:rich>
                  <a:bodyPr/>
                  <a:lstStyle/>
                  <a:p>
                    <a:r>
                      <a:rPr lang="en-US"/>
                      <a:t>a</a:t>
                    </a:r>
                  </a:p>
                </c:rich>
              </c:tx>
              <c:dLblPos val="ctr"/>
              <c:showVal val="1"/>
            </c:dLbl>
            <c:dLbl>
              <c:idx val="4"/>
              <c:tx>
                <c:rich>
                  <a:bodyPr/>
                  <a:lstStyle/>
                  <a:p>
                    <a:r>
                      <a:rPr lang="en-US"/>
                      <a:t>a</a:t>
                    </a:r>
                  </a:p>
                </c:rich>
              </c:tx>
              <c:dLblPos val="ctr"/>
              <c:showVal val="1"/>
            </c:dLbl>
            <c:dLbl>
              <c:idx val="5"/>
              <c:tx>
                <c:rich>
                  <a:bodyPr/>
                  <a:lstStyle/>
                  <a:p>
                    <a:r>
                      <a:rPr lang="en-US"/>
                      <a:t>a</a:t>
                    </a:r>
                  </a:p>
                </c:rich>
              </c:tx>
              <c:dLblPos val="ctr"/>
              <c:showVal val="1"/>
            </c:dLbl>
            <c:dLbl>
              <c:idx val="6"/>
              <c:tx>
                <c:rich>
                  <a:bodyPr/>
                  <a:lstStyle/>
                  <a:p>
                    <a:r>
                      <a:rPr lang="en-US"/>
                      <a:t>b</a:t>
                    </a:r>
                  </a:p>
                </c:rich>
              </c:tx>
              <c:dLblPos val="ctr"/>
              <c:showVal val="1"/>
            </c:dLbl>
            <c:dLblPos val="ctr"/>
            <c:showVal val="1"/>
          </c:dLbls>
          <c:errBars>
            <c:errBarType val="both"/>
            <c:errValType val="cust"/>
            <c:plus>
              <c:numRef>
                <c:f>Collembola!$E$36:$E$42</c:f>
                <c:numCache>
                  <c:formatCode>General</c:formatCode>
                  <c:ptCount val="7"/>
                  <c:pt idx="0">
                    <c:v>0.70710678118654757</c:v>
                  </c:pt>
                  <c:pt idx="1">
                    <c:v>1.4142135623730951</c:v>
                  </c:pt>
                  <c:pt idx="2">
                    <c:v>0</c:v>
                  </c:pt>
                  <c:pt idx="3">
                    <c:v>2.1213203435596442</c:v>
                  </c:pt>
                  <c:pt idx="4">
                    <c:v>2.1213203435596442</c:v>
                  </c:pt>
                  <c:pt idx="5">
                    <c:v>1.4142135623730951</c:v>
                  </c:pt>
                  <c:pt idx="6">
                    <c:v>0.70710678118654757</c:v>
                  </c:pt>
                </c:numCache>
              </c:numRef>
            </c:plus>
            <c:minus>
              <c:numRef>
                <c:f>Collembola!$E$36:$E$42</c:f>
                <c:numCache>
                  <c:formatCode>General</c:formatCode>
                  <c:ptCount val="7"/>
                  <c:pt idx="0">
                    <c:v>0.70710678118654757</c:v>
                  </c:pt>
                  <c:pt idx="1">
                    <c:v>1.4142135623730951</c:v>
                  </c:pt>
                  <c:pt idx="2">
                    <c:v>0</c:v>
                  </c:pt>
                  <c:pt idx="3">
                    <c:v>2.1213203435596442</c:v>
                  </c:pt>
                  <c:pt idx="4">
                    <c:v>2.1213203435596442</c:v>
                  </c:pt>
                  <c:pt idx="5">
                    <c:v>1.4142135623730951</c:v>
                  </c:pt>
                  <c:pt idx="6">
                    <c:v>0.70710678118654757</c:v>
                  </c:pt>
                </c:numCache>
              </c:numRef>
            </c:minus>
          </c:errBars>
          <c:cat>
            <c:strRef>
              <c:f>Collembola!$A$28:$A$34</c:f>
              <c:strCache>
                <c:ptCount val="7"/>
                <c:pt idx="0">
                  <c:v>R</c:v>
                </c:pt>
                <c:pt idx="1">
                  <c:v>S</c:v>
                </c:pt>
                <c:pt idx="2">
                  <c:v>S + 5% RM</c:v>
                </c:pt>
                <c:pt idx="3">
                  <c:v>S + 10% RM</c:v>
                </c:pt>
                <c:pt idx="4">
                  <c:v>S + 20% RM</c:v>
                </c:pt>
                <c:pt idx="5">
                  <c:v>S + 30% RM</c:v>
                </c:pt>
                <c:pt idx="6">
                  <c:v>S + 40% RM</c:v>
                </c:pt>
              </c:strCache>
            </c:strRef>
          </c:cat>
          <c:val>
            <c:numRef>
              <c:f>Collembola!$E$28:$E$34</c:f>
              <c:numCache>
                <c:formatCode>0</c:formatCode>
                <c:ptCount val="7"/>
                <c:pt idx="0">
                  <c:v>19.5</c:v>
                </c:pt>
                <c:pt idx="1">
                  <c:v>19</c:v>
                </c:pt>
                <c:pt idx="2">
                  <c:v>20</c:v>
                </c:pt>
                <c:pt idx="3">
                  <c:v>19</c:v>
                </c:pt>
                <c:pt idx="4">
                  <c:v>16.5</c:v>
                </c:pt>
                <c:pt idx="5">
                  <c:v>18</c:v>
                </c:pt>
                <c:pt idx="6">
                  <c:v>12.5</c:v>
                </c:pt>
              </c:numCache>
            </c:numRef>
          </c:val>
        </c:ser>
        <c:axId val="117016448"/>
        <c:axId val="117076736"/>
      </c:barChart>
      <c:catAx>
        <c:axId val="117016448"/>
        <c:scaling>
          <c:orientation val="minMax"/>
        </c:scaling>
        <c:axPos val="b"/>
        <c:tickLblPos val="nextTo"/>
        <c:crossAx val="117076736"/>
        <c:crosses val="autoZero"/>
        <c:auto val="1"/>
        <c:lblAlgn val="ctr"/>
        <c:lblOffset val="100"/>
      </c:catAx>
      <c:valAx>
        <c:axId val="117076736"/>
        <c:scaling>
          <c:orientation val="minMax"/>
          <c:max val="22"/>
          <c:min val="0"/>
        </c:scaling>
        <c:axPos val="l"/>
        <c:majorGridlines/>
        <c:title>
          <c:tx>
            <c:rich>
              <a:bodyPr rot="-5400000" vert="horz"/>
              <a:lstStyle/>
              <a:p>
                <a:pPr>
                  <a:defRPr b="0"/>
                </a:pPr>
                <a:r>
                  <a:rPr lang="hu-HU" b="0"/>
                  <a:t>Number of surviving animlas [number]</a:t>
                </a:r>
              </a:p>
            </c:rich>
          </c:tx>
          <c:layout>
            <c:manualLayout>
              <c:xMode val="edge"/>
              <c:yMode val="edge"/>
              <c:x val="2.073241625942936E-2"/>
              <c:y val="6.8875495577986084E-2"/>
            </c:manualLayout>
          </c:layout>
        </c:title>
        <c:numFmt formatCode="0" sourceLinked="1"/>
        <c:tickLblPos val="nextTo"/>
        <c:crossAx val="117016448"/>
        <c:crosses val="autoZero"/>
        <c:crossBetween val="between"/>
      </c:valAx>
      <c:spPr>
        <a:ln>
          <a:solidFill>
            <a:sysClr val="window" lastClr="FFFFFF">
              <a:lumMod val="50000"/>
            </a:sysClr>
          </a:solidFill>
        </a:ln>
      </c:spPr>
    </c:plotArea>
    <c:legend>
      <c:legendPos val="r"/>
      <c:layout>
        <c:manualLayout>
          <c:xMode val="edge"/>
          <c:yMode val="edge"/>
          <c:x val="0.33019951112625551"/>
          <c:y val="1.2260575856431442E-3"/>
          <c:w val="0.55580117622036962"/>
          <c:h val="0.1146696379489279"/>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hu-HU"/>
    </a:p>
  </c:txPr>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8080D-0B04-49B3-A4E4-795E2AAC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5291</Words>
  <Characters>36515</Characters>
  <Application>Microsoft Office Word</Application>
  <DocSecurity>0</DocSecurity>
  <Lines>304</Lines>
  <Paragraphs>83</Paragraphs>
  <ScaleCrop>false</ScaleCrop>
  <HeadingPairs>
    <vt:vector size="6" baseType="variant">
      <vt:variant>
        <vt:lpstr>Cím</vt:lpstr>
      </vt:variant>
      <vt:variant>
        <vt:i4>1</vt:i4>
      </vt:variant>
      <vt:variant>
        <vt:lpstr>Címsorok</vt:lpstr>
      </vt:variant>
      <vt:variant>
        <vt:i4>14</vt:i4>
      </vt:variant>
      <vt:variant>
        <vt:lpstr>Title</vt:lpstr>
      </vt:variant>
      <vt:variant>
        <vt:i4>1</vt:i4>
      </vt:variant>
    </vt:vector>
  </HeadingPairs>
  <TitlesOfParts>
    <vt:vector size="16" baseType="lpstr">
      <vt:lpstr>periodica polytechnica</vt:lpstr>
      <vt:lpstr>Introduction</vt:lpstr>
      <vt:lpstr>Materials and methods</vt:lpstr>
      <vt:lpstr>Experimental set-up</vt:lpstr>
      <vt:lpstr>Integrated methodology for soil characterisation and monitoring</vt:lpstr>
      <vt:lpstr>Chemical analysis</vt:lpstr>
      <vt:lpstr>Experimental design of biological and ecotoxicological measurements</vt:lpstr>
      <vt:lpstr>Statistical analysis</vt:lpstr>
      <vt:lpstr>Results and discussion</vt:lpstr>
      <vt:lpstr>Metal content of the red mud and of the soil</vt:lpstr>
      <vt:lpstr/>
      <vt:lpstr>Effect of red mud on the soil pH and on the metal content</vt:lpstr>
      <vt:lpstr>Influence of red mud on soil microorganisms and ecotoxicity</vt:lpstr>
      <vt:lpstr>Conclusion</vt:lpstr>
      <vt:lpstr>References</vt:lpstr>
      <vt:lpstr>periodica polytechnica</vt:lpstr>
    </vt:vector>
  </TitlesOfParts>
  <Company/>
  <LinksUpToDate>false</LinksUpToDate>
  <CharactersWithSpaces>41723</CharactersWithSpaces>
  <SharedDoc>false</SharedDoc>
  <HLinks>
    <vt:vector size="60" baseType="variant">
      <vt:variant>
        <vt:i4>6226003</vt:i4>
      </vt:variant>
      <vt:variant>
        <vt:i4>27</vt:i4>
      </vt:variant>
      <vt:variant>
        <vt:i4>0</vt:i4>
      </vt:variant>
      <vt:variant>
        <vt:i4>5</vt:i4>
      </vt:variant>
      <vt:variant>
        <vt:lpwstr>http://dx.doi.org/10.1039/C2EM30155E</vt:lpwstr>
      </vt:variant>
      <vt:variant>
        <vt:lpwstr/>
      </vt:variant>
      <vt:variant>
        <vt:i4>3080273</vt:i4>
      </vt:variant>
      <vt:variant>
        <vt:i4>24</vt:i4>
      </vt:variant>
      <vt:variant>
        <vt:i4>0</vt:i4>
      </vt:variant>
      <vt:variant>
        <vt:i4>5</vt:i4>
      </vt:variant>
      <vt:variant>
        <vt:lpwstr>http://www.ncbi.nlm.nih.gov/pubmed?term=Burke%20IT%5BAuthor%5D&amp;cauthor=true&amp;cauthor_uid=23793510</vt:lpwstr>
      </vt:variant>
      <vt:variant>
        <vt:lpwstr/>
      </vt:variant>
      <vt:variant>
        <vt:i4>7602260</vt:i4>
      </vt:variant>
      <vt:variant>
        <vt:i4>21</vt:i4>
      </vt:variant>
      <vt:variant>
        <vt:i4>0</vt:i4>
      </vt:variant>
      <vt:variant>
        <vt:i4>5</vt:i4>
      </vt:variant>
      <vt:variant>
        <vt:lpwstr>http://www.ncbi.nlm.nih.gov/pubmed?term=Gruiz%20K%5BAuthor%5D&amp;cauthor=true&amp;cauthor_uid=23793510</vt:lpwstr>
      </vt:variant>
      <vt:variant>
        <vt:lpwstr/>
      </vt:variant>
      <vt:variant>
        <vt:i4>4063241</vt:i4>
      </vt:variant>
      <vt:variant>
        <vt:i4>18</vt:i4>
      </vt:variant>
      <vt:variant>
        <vt:i4>0</vt:i4>
      </vt:variant>
      <vt:variant>
        <vt:i4>5</vt:i4>
      </vt:variant>
      <vt:variant>
        <vt:lpwstr>http://www.ncbi.nlm.nih.gov/pubmed?term=Mortimer%20RJ%5BAuthor%5D&amp;cauthor=true&amp;cauthor_uid=23793510</vt:lpwstr>
      </vt:variant>
      <vt:variant>
        <vt:lpwstr/>
      </vt:variant>
      <vt:variant>
        <vt:i4>6094890</vt:i4>
      </vt:variant>
      <vt:variant>
        <vt:i4>15</vt:i4>
      </vt:variant>
      <vt:variant>
        <vt:i4>0</vt:i4>
      </vt:variant>
      <vt:variant>
        <vt:i4>5</vt:i4>
      </vt:variant>
      <vt:variant>
        <vt:lpwstr>http://www.ncbi.nlm.nih.gov/pubmed?term=Stewart%20DI%5BAuthor%5D&amp;cauthor=true&amp;cauthor_uid=23793510</vt:lpwstr>
      </vt:variant>
      <vt:variant>
        <vt:lpwstr/>
      </vt:variant>
      <vt:variant>
        <vt:i4>2883677</vt:i4>
      </vt:variant>
      <vt:variant>
        <vt:i4>12</vt:i4>
      </vt:variant>
      <vt:variant>
        <vt:i4>0</vt:i4>
      </vt:variant>
      <vt:variant>
        <vt:i4>5</vt:i4>
      </vt:variant>
      <vt:variant>
        <vt:lpwstr>http://www.ncbi.nlm.nih.gov/pubmed?term=Mayes%20WM%5BAuthor%5D&amp;cauthor=true&amp;cauthor_uid=23793510</vt:lpwstr>
      </vt:variant>
      <vt:variant>
        <vt:lpwstr/>
      </vt:variant>
      <vt:variant>
        <vt:i4>2359307</vt:i4>
      </vt:variant>
      <vt:variant>
        <vt:i4>9</vt:i4>
      </vt:variant>
      <vt:variant>
        <vt:i4>0</vt:i4>
      </vt:variant>
      <vt:variant>
        <vt:i4>5</vt:i4>
      </vt:variant>
      <vt:variant>
        <vt:lpwstr>http://www.ncbi.nlm.nih.gov/pubmed?term=Lockwood%20CL%5BAuthor%5D&amp;cauthor=true&amp;cauthor_uid=23793510</vt:lpwstr>
      </vt:variant>
      <vt:variant>
        <vt:lpwstr/>
      </vt:variant>
      <vt:variant>
        <vt:i4>5963889</vt:i4>
      </vt:variant>
      <vt:variant>
        <vt:i4>6</vt:i4>
      </vt:variant>
      <vt:variant>
        <vt:i4>0</vt:i4>
      </vt:variant>
      <vt:variant>
        <vt:i4>5</vt:i4>
      </vt:variant>
      <vt:variant>
        <vt:lpwstr>http://www.ncbi.nlm.nih.gov/pubmed?term=Lehoux%20AP%5BAuthor%5D&amp;cauthor=true&amp;cauthor_uid=23793510</vt:lpwstr>
      </vt:variant>
      <vt:variant>
        <vt:lpwstr/>
      </vt:variant>
      <vt:variant>
        <vt:i4>3735608</vt:i4>
      </vt:variant>
      <vt:variant>
        <vt:i4>3</vt:i4>
      </vt:variant>
      <vt:variant>
        <vt:i4>0</vt:i4>
      </vt:variant>
      <vt:variant>
        <vt:i4>5</vt:i4>
      </vt:variant>
      <vt:variant>
        <vt:lpwstr>http://dx.doi.org/10.3390/ma5101800</vt:lpwstr>
      </vt:variant>
      <vt:variant>
        <vt:lpwstr/>
      </vt:variant>
      <vt:variant>
        <vt:i4>5177418</vt:i4>
      </vt:variant>
      <vt:variant>
        <vt:i4>0</vt:i4>
      </vt:variant>
      <vt:variant>
        <vt:i4>0</vt:i4>
      </vt:variant>
      <vt:variant>
        <vt:i4>5</vt:i4>
      </vt:variant>
      <vt:variant>
        <vt:lpwstr>http://mutage.oxfordjournals.org/content/28/1.toc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periodica polytechnica</dc:title>
  <dc:creator>Péter Tamás</dc:creator>
  <cp:lastModifiedBy>MOMO</cp:lastModifiedBy>
  <cp:revision>9</cp:revision>
  <cp:lastPrinted>2014-11-26T21:14:00Z</cp:lastPrinted>
  <dcterms:created xsi:type="dcterms:W3CDTF">2014-11-18T11:18:00Z</dcterms:created>
  <dcterms:modified xsi:type="dcterms:W3CDTF">2014-11-26T21:26:00Z</dcterms:modified>
</cp:coreProperties>
</file>